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80" w:rsidRDefault="003D4D80" w:rsidP="003D4D80">
      <w:pPr>
        <w:pStyle w:val="EndNoteBibliography"/>
        <w:spacing w:line="480" w:lineRule="auto"/>
        <w:rPr>
          <w:rFonts w:ascii="Times New Roman" w:hAnsi="Times New Roman"/>
          <w:noProof/>
          <w:sz w:val="20"/>
          <w:szCs w:val="20"/>
        </w:rPr>
      </w:pPr>
    </w:p>
    <w:p w:rsidR="003D4D80" w:rsidRDefault="003D4D80" w:rsidP="003D4D80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Supplementary Materials</w:t>
      </w:r>
    </w:p>
    <w:p w:rsidR="003D4D80" w:rsidRDefault="003D4D80" w:rsidP="003D4D80">
      <w:pPr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Table 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REMARK profile – double expression of MYC/BCL2 to </w:t>
      </w:r>
      <w:r>
        <w:rPr>
          <w:rFonts w:ascii="Times New Roman" w:eastAsia="Tahoma" w:hAnsi="Times New Roman" w:cs="Times New Roman"/>
          <w:color w:val="000000" w:themeColor="text1"/>
          <w:sz w:val="20"/>
          <w:szCs w:val="20"/>
        </w:rPr>
        <w:t>National Comprehensive Cancer Network Internal Prognostic Index.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88"/>
        <w:gridCol w:w="531"/>
        <w:gridCol w:w="829"/>
        <w:gridCol w:w="1217"/>
        <w:gridCol w:w="1494"/>
        <w:gridCol w:w="2863"/>
      </w:tblGrid>
      <w:tr w:rsidR="003D4D80" w:rsidTr="00173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3D4D80" w:rsidRDefault="003D4D80" w:rsidP="00173D4D">
            <w:pPr>
              <w:shd w:val="clear" w:color="auto" w:fill="FFFFFF"/>
              <w:spacing w:before="100" w:beforeAutospacing="1" w:after="100" w:afterAutospacing="1" w:line="480" w:lineRule="auto"/>
              <w:contextualSpacing/>
              <w:jc w:val="left"/>
              <w:rPr>
                <w:rFonts w:ascii="Times New Roman" w:hAnsi="Times New Roman" w:cstheme="minorBid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a) Patients and variables </w:t>
            </w:r>
          </w:p>
        </w:tc>
      </w:tr>
      <w:tr w:rsidR="003D4D80" w:rsidTr="0017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Study and marker</w:t>
            </w:r>
          </w:p>
        </w:tc>
        <w:tc>
          <w:tcPr>
            <w:tcW w:w="0" w:type="auto"/>
            <w:gridSpan w:val="5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Remarks</w:t>
            </w:r>
          </w:p>
        </w:tc>
      </w:tr>
      <w:tr w:rsidR="003D4D80" w:rsidTr="00173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Marker 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M=Double expression of MYC and BCL2 proteins 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(DE: MYC </w:t>
            </w:r>
            <w:r>
              <w:rPr>
                <w:rFonts w:ascii="Cambria Math" w:hAnsi="Cambria Math" w:cs="Cambria Math"/>
                <w:color w:val="000000" w:themeColor="text1"/>
              </w:rPr>
              <w:t>≥</w:t>
            </w:r>
            <w:r>
              <w:rPr>
                <w:rFonts w:ascii="Times New Roman" w:hAnsi="Times New Roman"/>
                <w:color w:val="000000" w:themeColor="text1"/>
              </w:rPr>
              <w:t xml:space="preserve"> 40% and BCL2 </w:t>
            </w:r>
            <w:r>
              <w:rPr>
                <w:rFonts w:ascii="Cambria Math" w:hAnsi="Cambria Math" w:cs="Cambria Math"/>
                <w:color w:val="000000" w:themeColor="text1"/>
              </w:rPr>
              <w:t xml:space="preserve">≥ </w:t>
            </w:r>
            <w:r>
              <w:rPr>
                <w:rFonts w:ascii="Times New Roman" w:hAnsi="Times New Roman"/>
                <w:color w:val="000000" w:themeColor="text1"/>
              </w:rPr>
              <w:t>50%, non-DE: other than DE)</w:t>
            </w:r>
          </w:p>
        </w:tc>
      </w:tr>
      <w:tr w:rsidR="003D4D80" w:rsidTr="0017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Further variable</w:t>
            </w:r>
          </w:p>
        </w:tc>
        <w:tc>
          <w:tcPr>
            <w:tcW w:w="0" w:type="auto"/>
            <w:gridSpan w:val="5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v=NCCN-IPI </w:t>
            </w:r>
          </w:p>
        </w:tc>
      </w:tr>
      <w:tr w:rsidR="003D4D80" w:rsidTr="00173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Patients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Remarks</w:t>
            </w:r>
          </w:p>
        </w:tc>
      </w:tr>
      <w:tr w:rsidR="003D4D80" w:rsidTr="0017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Assessed for eligibility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319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gridSpan w:val="4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Disease</w:t>
            </w:r>
            <w:r>
              <w:rPr>
                <w:rFonts w:ascii="Times New Roman" w:hAnsi="Times New Roman"/>
                <w:color w:val="000000" w:themeColor="text1"/>
              </w:rPr>
              <w:t>: diffuse large B-cell lymphoma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ind w:right="-192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Patient source</w:t>
            </w:r>
            <w:r>
              <w:rPr>
                <w:rFonts w:ascii="Times New Roman" w:hAnsi="Times New Roman"/>
                <w:color w:val="000000" w:themeColor="text1"/>
              </w:rPr>
              <w:t>: Ramathibodi Hospital and Thammasat University Hospital from 1 January 2014 to 31 Jan 2018</w:t>
            </w:r>
          </w:p>
        </w:tc>
      </w:tr>
      <w:tr w:rsidR="003D4D80" w:rsidTr="00173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Excluded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133 no R-CHOP, 75 no MYC and BCL2 </w:t>
            </w:r>
          </w:p>
        </w:tc>
      </w:tr>
      <w:tr w:rsidR="003D4D80" w:rsidTr="0017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Included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</w:t>
            </w:r>
          </w:p>
        </w:tc>
        <w:tc>
          <w:tcPr>
            <w:tcW w:w="0" w:type="auto"/>
            <w:gridSpan w:val="4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Age </w:t>
            </w:r>
            <w:r>
              <w:rPr>
                <w:rFonts w:ascii="Cambria Math" w:hAnsi="Cambria Math" w:cs="Cambria Math"/>
                <w:color w:val="000000" w:themeColor="text1"/>
              </w:rPr>
              <w:t>≥</w:t>
            </w:r>
            <w:r>
              <w:rPr>
                <w:rFonts w:ascii="Times New Roman" w:hAnsi="Times New Roman"/>
                <w:color w:val="000000" w:themeColor="text1"/>
              </w:rPr>
              <w:t xml:space="preserve">18 years old, R-CHOP, MYC/BCL2 result </w:t>
            </w:r>
          </w:p>
        </w:tc>
      </w:tr>
      <w:tr w:rsidR="003D4D80" w:rsidTr="00173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Outcome events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Progression: </w:t>
            </w:r>
            <w:r>
              <w:rPr>
                <w:rFonts w:ascii="Times New Roman" w:eastAsia="Tahoma" w:hAnsi="Times New Roman"/>
                <w:color w:val="000000" w:themeColor="text1"/>
              </w:rPr>
              <w:t>refractory disease or relapse or death from any cause</w:t>
            </w:r>
          </w:p>
        </w:tc>
      </w:tr>
      <w:tr w:rsidR="003D4D80" w:rsidTr="0017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line="48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b) Statistical analysis</w:t>
            </w:r>
          </w:p>
        </w:tc>
      </w:tr>
      <w:tr w:rsidR="003D4D80" w:rsidTr="00173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Analysis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Events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Outcomes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Variables considered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Results/remarks</w:t>
            </w:r>
          </w:p>
        </w:tc>
      </w:tr>
      <w:tr w:rsidR="003D4D80" w:rsidTr="0017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IDA: Descriptive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Progression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DE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Fig. 1, Table 2, Fig. 2</w:t>
            </w:r>
          </w:p>
        </w:tc>
      </w:tr>
      <w:tr w:rsidR="003D4D80" w:rsidTr="00173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A1: Univariable 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  Unadjusted 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0000" w:themeColor="text1"/>
              </w:rPr>
              <w:t>A2: Adjusted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111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51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PFS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5-y PFS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PFS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PFS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M</w:t>
            </w:r>
            <w:r>
              <w:rPr>
                <w:rFonts w:ascii="Times New Roman" w:hAnsi="Times New Roman"/>
                <w:color w:val="000000" w:themeColor="text1"/>
                <w:lang w:val="en-AU"/>
              </w:rPr>
              <w:t xml:space="preserve">, v1 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en-AU"/>
              </w:rPr>
            </w:pPr>
            <w:r>
              <w:rPr>
                <w:rFonts w:ascii="Times New Roman" w:hAnsi="Times New Roman"/>
                <w:color w:val="000000" w:themeColor="text1"/>
              </w:rPr>
              <w:t>M</w:t>
            </w:r>
            <w:r>
              <w:rPr>
                <w:rFonts w:ascii="Times New Roman" w:hAnsi="Times New Roman"/>
                <w:color w:val="000000" w:themeColor="text1"/>
                <w:lang w:val="en-AU"/>
              </w:rPr>
              <w:t>, v1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M, v1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Fig. 3 (KM)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en-AU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>
              <w:rPr>
                <w:rFonts w:ascii="Times New Roman" w:hAnsi="Times New Roman"/>
                <w:color w:val="000000" w:themeColor="text1"/>
                <w:lang w:val="en-AU"/>
              </w:rPr>
              <w:t>able 3 (Probability)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en-AU"/>
              </w:rPr>
            </w:pPr>
            <w:r>
              <w:rPr>
                <w:rFonts w:ascii="Times New Roman" w:hAnsi="Times New Roman"/>
                <w:color w:val="000000" w:themeColor="text1"/>
                <w:lang w:val="en-AU"/>
              </w:rPr>
              <w:t>Table 4 (HR)</w:t>
            </w:r>
          </w:p>
          <w:p w:rsidR="003D4D80" w:rsidRDefault="003D4D80" w:rsidP="00173D4D">
            <w:pPr>
              <w:spacing w:before="100" w:beforeAutospacing="1" w:after="100" w:afterAutospacing="1" w:line="48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0000" w:themeColor="text1"/>
                <w:lang w:val="en-AU"/>
              </w:rPr>
              <w:lastRenderedPageBreak/>
              <w:t>Table 4 (Adjusted HR and c-index of NCCN-IPI with DE)</w:t>
            </w:r>
          </w:p>
        </w:tc>
      </w:tr>
    </w:tbl>
    <w:p w:rsidR="003D4D80" w:rsidRDefault="003D4D80" w:rsidP="003D4D80">
      <w:pPr>
        <w:pStyle w:val="MDPI43tablefooter"/>
        <w:spacing w:line="480" w:lineRule="auto"/>
        <w:ind w:left="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A: analysis; c-index: concordance index; DE: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AU"/>
        </w:rPr>
        <w:t xml:space="preserve">double expression of MYC and BCL2;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ECOG: Eastern Cooperative Oncology Group Performance Status; HR: hazard ratio; IDA: initial data analysis; KM: </w:t>
      </w:r>
      <w:r>
        <w:rPr>
          <w:rFonts w:ascii="Times New Roman" w:eastAsia="Sarabun" w:hAnsi="Times New Roman" w:cs="Times New Roman"/>
          <w:color w:val="000000" w:themeColor="text1"/>
          <w:sz w:val="20"/>
          <w:szCs w:val="20"/>
          <w:lang w:val="en-AU"/>
        </w:rPr>
        <w:t xml:space="preserve">Kaplan–Meier survival curves;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LDH: lactate dehydrogenase; M: marker; </w:t>
      </w:r>
      <w:r>
        <w:rPr>
          <w:rFonts w:ascii="Times New Roman" w:hAnsi="Times New Roman" w:cs="Times New Roman"/>
          <w:sz w:val="20"/>
          <w:szCs w:val="20"/>
        </w:rPr>
        <w:t xml:space="preserve">NCCN-IPI: National Comprehensive Cancer Network Internal Prognostic Index;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PFS: progression-free survival; R-CHOP: rituximab</w:t>
      </w:r>
      <w:r>
        <w:rPr>
          <w:rFonts w:ascii="Times New Roman" w:hAnsi="Times New Roman" w:cs="Times New Roman"/>
          <w:sz w:val="20"/>
          <w:szCs w:val="20"/>
        </w:rPr>
        <w:t xml:space="preserve">, cyclophosphamide, doxorubicin, vincristine, and prednisolone; v: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variable.</w:t>
      </w:r>
    </w:p>
    <w:p w:rsidR="003D4D80" w:rsidRDefault="003D4D80" w:rsidP="003D4D80"/>
    <w:p w:rsidR="003D4D80" w:rsidRPr="000744F6" w:rsidRDefault="003D4D80" w:rsidP="003D4D80">
      <w:pPr>
        <w:pStyle w:val="EndNoteBibliography"/>
        <w:spacing w:line="480" w:lineRule="auto"/>
        <w:rPr>
          <w:rFonts w:ascii="Times New Roman" w:hAnsi="Times New Roman"/>
          <w:sz w:val="20"/>
          <w:szCs w:val="20"/>
        </w:rPr>
      </w:pPr>
    </w:p>
    <w:p w:rsidR="00CA56BC" w:rsidRDefault="00CA56BC">
      <w:bookmarkStart w:id="0" w:name="_GoBack"/>
      <w:bookmarkEnd w:id="0"/>
    </w:p>
    <w:sectPr w:rsidR="00CA56BC" w:rsidSect="00DD538D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8170715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D3034" w:rsidRDefault="003D4D80" w:rsidP="004505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D3034" w:rsidRDefault="003D4D80" w:rsidP="00CC2E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3965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D3034" w:rsidRDefault="003D4D80" w:rsidP="004505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1D3034" w:rsidRDefault="003D4D80" w:rsidP="00CC2E2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80"/>
    <w:rsid w:val="00142E1E"/>
    <w:rsid w:val="001479A6"/>
    <w:rsid w:val="003D4D80"/>
    <w:rsid w:val="00476A4E"/>
    <w:rsid w:val="00BC487E"/>
    <w:rsid w:val="00C237E8"/>
    <w:rsid w:val="00C842D5"/>
    <w:rsid w:val="00CA56BC"/>
    <w:rsid w:val="00CE54B0"/>
    <w:rsid w:val="00F1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80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 Table 2"/>
    <w:basedOn w:val="TableNormal"/>
    <w:uiPriority w:val="42"/>
    <w:rsid w:val="003D4D80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DPI43tablefooter">
    <w:name w:val="MDPI_4.3_table_footer"/>
    <w:next w:val="Normal"/>
    <w:qFormat/>
    <w:rsid w:val="003D4D80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3D4D80"/>
    <w:pPr>
      <w:widowControl/>
      <w:jc w:val="left"/>
    </w:pPr>
    <w:rPr>
      <w:rFonts w:ascii="Palatino Linotype" w:eastAsia="Times New Roman" w:hAnsi="Palatino Linotype" w:cs="Times New Roman"/>
      <w:kern w:val="0"/>
      <w:sz w:val="18"/>
      <w:lang w:eastAsia="en-US" w:bidi="th-TH"/>
    </w:rPr>
  </w:style>
  <w:style w:type="character" w:customStyle="1" w:styleId="EndNoteBibliographyChar">
    <w:name w:val="EndNote Bibliography Char"/>
    <w:basedOn w:val="DefaultParagraphFont"/>
    <w:link w:val="EndNoteBibliography"/>
    <w:rsid w:val="003D4D80"/>
    <w:rPr>
      <w:rFonts w:ascii="Palatino Linotype" w:eastAsia="Times New Roman" w:hAnsi="Palatino Linotype" w:cs="Times New Roman"/>
      <w:sz w:val="18"/>
      <w:szCs w:val="24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D4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D80"/>
    <w:rPr>
      <w:rFonts w:eastAsiaTheme="minorEastAsia"/>
      <w:kern w:val="2"/>
      <w:sz w:val="21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3D4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80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 Table 2"/>
    <w:basedOn w:val="TableNormal"/>
    <w:uiPriority w:val="42"/>
    <w:rsid w:val="003D4D80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DPI43tablefooter">
    <w:name w:val="MDPI_4.3_table_footer"/>
    <w:next w:val="Normal"/>
    <w:qFormat/>
    <w:rsid w:val="003D4D80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3D4D80"/>
    <w:pPr>
      <w:widowControl/>
      <w:jc w:val="left"/>
    </w:pPr>
    <w:rPr>
      <w:rFonts w:ascii="Palatino Linotype" w:eastAsia="Times New Roman" w:hAnsi="Palatino Linotype" w:cs="Times New Roman"/>
      <w:kern w:val="0"/>
      <w:sz w:val="18"/>
      <w:lang w:eastAsia="en-US" w:bidi="th-TH"/>
    </w:rPr>
  </w:style>
  <w:style w:type="character" w:customStyle="1" w:styleId="EndNoteBibliographyChar">
    <w:name w:val="EndNote Bibliography Char"/>
    <w:basedOn w:val="DefaultParagraphFont"/>
    <w:link w:val="EndNoteBibliography"/>
    <w:rsid w:val="003D4D80"/>
    <w:rPr>
      <w:rFonts w:ascii="Palatino Linotype" w:eastAsia="Times New Roman" w:hAnsi="Palatino Linotype" w:cs="Times New Roman"/>
      <w:sz w:val="18"/>
      <w:szCs w:val="24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D4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D80"/>
    <w:rPr>
      <w:rFonts w:eastAsiaTheme="minorEastAsia"/>
      <w:kern w:val="2"/>
      <w:sz w:val="21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3D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Maiden Pacang</dc:creator>
  <cp:lastModifiedBy>Maiden Pacang</cp:lastModifiedBy>
  <cp:revision>1</cp:revision>
  <dcterms:created xsi:type="dcterms:W3CDTF">2024-01-27T03:20:00Z</dcterms:created>
  <dcterms:modified xsi:type="dcterms:W3CDTF">2024-01-27T03:21:00Z</dcterms:modified>
</cp:coreProperties>
</file>