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CE87" w14:textId="77777777" w:rsidR="00EC1014" w:rsidRDefault="00EC1014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0E9CA0EF" w14:textId="4DBC2950" w:rsidR="00786309" w:rsidRPr="00EC1014" w:rsidRDefault="00153B1D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 xml:space="preserve">This survey is being conducted for the study </w:t>
      </w:r>
      <w:r w:rsidR="00EC1014">
        <w:rPr>
          <w:rFonts w:ascii="Garamond" w:hAnsi="Garamond"/>
          <w:color w:val="000000" w:themeColor="text1"/>
          <w:sz w:val="22"/>
        </w:rPr>
        <w:t>“</w:t>
      </w:r>
      <w:r w:rsidRPr="00EC1014">
        <w:rPr>
          <w:rFonts w:ascii="Garamond" w:hAnsi="Garamond"/>
          <w:color w:val="000000" w:themeColor="text1"/>
          <w:sz w:val="22"/>
        </w:rPr>
        <w:t>Revised evaluation objectives of the Korean Dentist Clinical Skill Test.</w:t>
      </w:r>
      <w:r w:rsidR="00EC1014">
        <w:rPr>
          <w:rFonts w:ascii="Garamond" w:hAnsi="Garamond"/>
          <w:color w:val="000000" w:themeColor="text1"/>
          <w:sz w:val="22"/>
        </w:rPr>
        <w:t>”</w:t>
      </w:r>
      <w:r w:rsidRPr="00EC1014">
        <w:rPr>
          <w:rFonts w:ascii="Garamond" w:hAnsi="Garamond"/>
          <w:color w:val="000000" w:themeColor="text1"/>
          <w:sz w:val="22"/>
        </w:rPr>
        <w:t xml:space="preserve"> We kindly request your feedback for the improvement of the national dental licensing examination. Your responses to this survey will be used solely for research purposes.</w:t>
      </w:r>
    </w:p>
    <w:p w14:paraId="24D026E9" w14:textId="77777777" w:rsidR="00153B1D" w:rsidRPr="00EC1014" w:rsidRDefault="00153B1D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7B47C7AE" w14:textId="014BBF9A" w:rsidR="00153B1D" w:rsidRPr="00EC1014" w:rsidRDefault="009572E7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 xml:space="preserve">The following are the evaluation objectives for the Korean Dentist Clinical Skill Test as announced by </w:t>
      </w:r>
      <w:r w:rsidR="00E42047" w:rsidRPr="00EC1014">
        <w:rPr>
          <w:rFonts w:ascii="Garamond" w:hAnsi="Garamond"/>
          <w:color w:val="000000" w:themeColor="text1"/>
          <w:sz w:val="22"/>
        </w:rPr>
        <w:t>t</w:t>
      </w:r>
      <w:r w:rsidRPr="00EC1014">
        <w:rPr>
          <w:rFonts w:ascii="Garamond" w:hAnsi="Garamond"/>
          <w:color w:val="000000" w:themeColor="text1"/>
          <w:sz w:val="22"/>
        </w:rPr>
        <w:t>he Korean Health Personnel Licensing Examination Institute.</w:t>
      </w:r>
    </w:p>
    <w:tbl>
      <w:tblPr>
        <w:tblStyle w:val="aa"/>
        <w:tblW w:w="90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1014" w:rsidRPr="00EC1014" w14:paraId="3F748BFC" w14:textId="77777777" w:rsidTr="00EC1014">
        <w:trPr>
          <w:trHeight w:val="60"/>
        </w:trPr>
        <w:tc>
          <w:tcPr>
            <w:tcW w:w="9072" w:type="dxa"/>
            <w:vAlign w:val="center"/>
          </w:tcPr>
          <w:p w14:paraId="7AA8F965" w14:textId="119B40F2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 xml:space="preserve">Evaluation </w:t>
            </w:r>
            <w:r w:rsidR="00EC1014">
              <w:rPr>
                <w:rFonts w:ascii="Garamond" w:hAnsi="Garamond" w:hint="eastAsia"/>
                <w:color w:val="000000" w:themeColor="text1"/>
                <w:sz w:val="22"/>
              </w:rPr>
              <w:t>o</w:t>
            </w:r>
            <w:r w:rsidRPr="00EC1014">
              <w:rPr>
                <w:rFonts w:ascii="Garamond" w:hAnsi="Garamond"/>
                <w:color w:val="000000" w:themeColor="text1"/>
                <w:sz w:val="22"/>
              </w:rPr>
              <w:t>bjectives (22 items)</w:t>
            </w:r>
          </w:p>
        </w:tc>
      </w:tr>
      <w:tr w:rsidR="009572E7" w:rsidRPr="00EC1014" w14:paraId="2B1D0BC6" w14:textId="77777777" w:rsidTr="009572E7">
        <w:trPr>
          <w:trHeight w:val="567"/>
        </w:trPr>
        <w:tc>
          <w:tcPr>
            <w:tcW w:w="9072" w:type="dxa"/>
            <w:vAlign w:val="center"/>
          </w:tcPr>
          <w:p w14:paraId="752B0980" w14:textId="0C173A1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bookmarkStart w:id="0" w:name="_Hlk166343285"/>
            <w:r w:rsidRPr="00EC1014">
              <w:rPr>
                <w:rFonts w:ascii="Garamond" w:hAnsi="Garamond"/>
                <w:color w:val="000000" w:themeColor="text1"/>
                <w:sz w:val="22"/>
              </w:rPr>
              <w:t xml:space="preserve">1. </w:t>
            </w:r>
            <w:r w:rsidR="00547AED" w:rsidRPr="00EC1014">
              <w:rPr>
                <w:rFonts w:ascii="Garamond" w:hAnsi="Garamond"/>
                <w:color w:val="000000" w:themeColor="text1"/>
                <w:sz w:val="22"/>
              </w:rPr>
              <w:t>P</w:t>
            </w:r>
            <w:r w:rsidRPr="00EC1014">
              <w:rPr>
                <w:rFonts w:ascii="Garamond" w:hAnsi="Garamond"/>
                <w:color w:val="000000" w:themeColor="text1"/>
                <w:sz w:val="22"/>
              </w:rPr>
              <w:t>atient interview, history taking, diagnosis</w:t>
            </w:r>
            <w:r w:rsidR="00EC1014">
              <w:rPr>
                <w:rFonts w:ascii="Garamond" w:hAnsi="Garamond" w:hint="eastAsia"/>
                <w:color w:val="000000" w:themeColor="text1"/>
                <w:sz w:val="22"/>
              </w:rPr>
              <w:t>,</w:t>
            </w:r>
            <w:r w:rsidRPr="00EC1014">
              <w:rPr>
                <w:rFonts w:ascii="Garamond" w:hAnsi="Garamond"/>
                <w:color w:val="000000" w:themeColor="text1"/>
                <w:sz w:val="22"/>
              </w:rPr>
              <w:t xml:space="preserve"> and treatment planning</w:t>
            </w:r>
          </w:p>
          <w:p w14:paraId="0F18743B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 xml:space="preserve">2. </w:t>
            </w:r>
            <w:proofErr w:type="spellStart"/>
            <w:r w:rsidRPr="00EC1014">
              <w:rPr>
                <w:rFonts w:ascii="Garamond" w:hAnsi="Garamond"/>
                <w:color w:val="000000" w:themeColor="text1"/>
                <w:sz w:val="22"/>
              </w:rPr>
              <w:t>Oromaxillofacial</w:t>
            </w:r>
            <w:proofErr w:type="spellEnd"/>
            <w:r w:rsidRPr="00EC1014">
              <w:rPr>
                <w:rFonts w:ascii="Garamond" w:hAnsi="Garamond"/>
                <w:color w:val="000000" w:themeColor="text1"/>
                <w:sz w:val="22"/>
              </w:rPr>
              <w:t xml:space="preserve"> cranial nerve examination</w:t>
            </w:r>
          </w:p>
          <w:p w14:paraId="382FB14F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 xml:space="preserve">3. </w:t>
            </w:r>
            <w:proofErr w:type="spellStart"/>
            <w:r w:rsidRPr="00EC1014">
              <w:rPr>
                <w:rFonts w:ascii="Garamond" w:hAnsi="Garamond"/>
                <w:color w:val="000000" w:themeColor="text1"/>
                <w:sz w:val="22"/>
              </w:rPr>
              <w:t>Temporomadibular</w:t>
            </w:r>
            <w:proofErr w:type="spellEnd"/>
            <w:r w:rsidRPr="00EC1014">
              <w:rPr>
                <w:rFonts w:ascii="Garamond" w:hAnsi="Garamond"/>
                <w:color w:val="000000" w:themeColor="text1"/>
                <w:sz w:val="22"/>
              </w:rPr>
              <w:t xml:space="preserve"> disorder palpation test</w:t>
            </w:r>
          </w:p>
          <w:p w14:paraId="18B1EE2E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4. Pulp test</w:t>
            </w:r>
          </w:p>
          <w:p w14:paraId="7D0B2350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5. Periodontal test</w:t>
            </w:r>
          </w:p>
          <w:p w14:paraId="2F56B4A4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6. Intraoral X-ray taking</w:t>
            </w:r>
          </w:p>
          <w:p w14:paraId="2C5CC5BB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7. Local anesthesia</w:t>
            </w:r>
          </w:p>
          <w:p w14:paraId="7E1A5BB7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8. Rubber dam application</w:t>
            </w:r>
          </w:p>
          <w:p w14:paraId="543D71F1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9. Topical fluoride application</w:t>
            </w:r>
          </w:p>
          <w:p w14:paraId="54490B22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10. Pit and fissure sealant</w:t>
            </w:r>
          </w:p>
          <w:p w14:paraId="113CF65D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11. Scaling</w:t>
            </w:r>
          </w:p>
          <w:p w14:paraId="6AC40D8C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12. Root planning</w:t>
            </w:r>
          </w:p>
          <w:p w14:paraId="7E48A3CC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13. Simpe extraction</w:t>
            </w:r>
          </w:p>
          <w:p w14:paraId="43C0D78C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14. Suturing skills</w:t>
            </w:r>
          </w:p>
          <w:p w14:paraId="5819FB3C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15. Space management for primary and mixed dentition</w:t>
            </w:r>
          </w:p>
          <w:p w14:paraId="77C823C8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16. Oral hygiene education</w:t>
            </w:r>
          </w:p>
          <w:p w14:paraId="54119A94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17. Endodontic treatment</w:t>
            </w:r>
          </w:p>
          <w:p w14:paraId="42640166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18. Amalgam restoration in posterior teeth</w:t>
            </w:r>
          </w:p>
          <w:p w14:paraId="11967389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19. Resin composite restoration in anterior teeth</w:t>
            </w:r>
          </w:p>
          <w:p w14:paraId="53DAFB33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20. Gold inlay cavity preparation in posterior teeth</w:t>
            </w:r>
          </w:p>
          <w:p w14:paraId="12E3C8B8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21. Gold crown preparation in posterior teeth and fabrication of temporary crown</w:t>
            </w:r>
          </w:p>
          <w:p w14:paraId="4797F19E" w14:textId="77777777" w:rsidR="009572E7" w:rsidRPr="00EC1014" w:rsidRDefault="009572E7" w:rsidP="00EC1014">
            <w:pPr>
              <w:wordWrap/>
              <w:spacing w:line="360" w:lineRule="auto"/>
              <w:rPr>
                <w:rFonts w:ascii="Garamond" w:hAnsi="Garamond"/>
                <w:color w:val="000000" w:themeColor="text1"/>
                <w:sz w:val="22"/>
              </w:rPr>
            </w:pPr>
            <w:r w:rsidRPr="00EC1014">
              <w:rPr>
                <w:rFonts w:ascii="Garamond" w:hAnsi="Garamond"/>
                <w:color w:val="000000" w:themeColor="text1"/>
                <w:sz w:val="22"/>
              </w:rPr>
              <w:t>22. Porcelain fused to metal crown in anterior teeth and fabrication of temporary crown</w:t>
            </w:r>
            <w:bookmarkEnd w:id="0"/>
          </w:p>
        </w:tc>
      </w:tr>
    </w:tbl>
    <w:p w14:paraId="35F57453" w14:textId="77777777" w:rsidR="009572E7" w:rsidRPr="00EC1014" w:rsidRDefault="009572E7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</w:p>
    <w:p w14:paraId="6E8EB118" w14:textId="077BDA4E" w:rsidR="009572E7" w:rsidRPr="00EC1014" w:rsidRDefault="00C82D33" w:rsidP="00EC1014">
      <w:pPr>
        <w:wordWrap/>
        <w:spacing w:after="0" w:line="360" w:lineRule="auto"/>
        <w:rPr>
          <w:rFonts w:ascii="Garamond" w:hAnsi="Garamond"/>
          <w:b/>
          <w:bCs/>
          <w:color w:val="000000" w:themeColor="text1"/>
          <w:sz w:val="22"/>
        </w:rPr>
      </w:pPr>
      <w:r w:rsidRPr="00EC1014">
        <w:rPr>
          <w:rFonts w:ascii="Garamond" w:hAnsi="Garamond"/>
          <w:b/>
          <w:bCs/>
          <w:color w:val="000000" w:themeColor="text1"/>
          <w:sz w:val="22"/>
        </w:rPr>
        <w:t>1. Is it appropriate to assess the evaluation objectives through the clinical skill test?</w:t>
      </w:r>
    </w:p>
    <w:p w14:paraId="1B3A82FB" w14:textId="6B2D94C6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 xml:space="preserve">1-1. </w:t>
      </w:r>
      <w:r w:rsidR="00547AED" w:rsidRPr="00EC1014">
        <w:rPr>
          <w:rFonts w:ascii="Garamond" w:hAnsi="Garamond"/>
          <w:color w:val="000000" w:themeColor="text1"/>
          <w:sz w:val="22"/>
        </w:rPr>
        <w:t>P</w:t>
      </w:r>
      <w:r w:rsidRPr="00EC1014">
        <w:rPr>
          <w:rFonts w:ascii="Garamond" w:hAnsi="Garamond"/>
          <w:color w:val="000000" w:themeColor="text1"/>
          <w:sz w:val="22"/>
        </w:rPr>
        <w:t>atient interview, history taking, diagnosis and treatment planning</w:t>
      </w:r>
    </w:p>
    <w:p w14:paraId="32ADE02F" w14:textId="537E4031" w:rsidR="00547AED" w:rsidRPr="00EC1014" w:rsidRDefault="00C82D33" w:rsidP="00EC1014">
      <w:pPr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2EBF8F4E" w14:textId="0FF21868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 xml:space="preserve">1-2. </w:t>
      </w:r>
      <w:proofErr w:type="spellStart"/>
      <w:r w:rsidRPr="00EC1014">
        <w:rPr>
          <w:rFonts w:ascii="Garamond" w:hAnsi="Garamond"/>
          <w:color w:val="000000" w:themeColor="text1"/>
          <w:sz w:val="22"/>
        </w:rPr>
        <w:t>Oromaxillofacial</w:t>
      </w:r>
      <w:proofErr w:type="spellEnd"/>
      <w:r w:rsidRPr="00EC1014">
        <w:rPr>
          <w:rFonts w:ascii="Garamond" w:hAnsi="Garamond"/>
          <w:color w:val="000000" w:themeColor="text1"/>
          <w:sz w:val="22"/>
        </w:rPr>
        <w:t xml:space="preserve"> cranial nerve examination</w:t>
      </w:r>
    </w:p>
    <w:p w14:paraId="448525DC" w14:textId="798AFD36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05E97F0D" w14:textId="52C332D5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 xml:space="preserve">1-3. </w:t>
      </w:r>
      <w:proofErr w:type="spellStart"/>
      <w:r w:rsidRPr="00EC1014">
        <w:rPr>
          <w:rFonts w:ascii="Garamond" w:hAnsi="Garamond"/>
          <w:color w:val="000000" w:themeColor="text1"/>
          <w:sz w:val="22"/>
        </w:rPr>
        <w:t>Temporomadibular</w:t>
      </w:r>
      <w:proofErr w:type="spellEnd"/>
      <w:r w:rsidRPr="00EC1014">
        <w:rPr>
          <w:rFonts w:ascii="Garamond" w:hAnsi="Garamond"/>
          <w:color w:val="000000" w:themeColor="text1"/>
          <w:sz w:val="22"/>
        </w:rPr>
        <w:t xml:space="preserve"> disorder palpation test</w:t>
      </w:r>
    </w:p>
    <w:p w14:paraId="5E520AD4" w14:textId="761B5B7C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9BBD5C9" w14:textId="159CE218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lastRenderedPageBreak/>
        <w:t>1-4. Pulp test</w:t>
      </w:r>
    </w:p>
    <w:p w14:paraId="78CFB790" w14:textId="54E30342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6056578" w14:textId="456ED0E7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1-5. Periodontal test</w:t>
      </w:r>
    </w:p>
    <w:p w14:paraId="4DB7D5B2" w14:textId="7D398594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812AA8C" w14:textId="0C0D9EDB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1-6. Intraoral X-ray taking</w:t>
      </w:r>
    </w:p>
    <w:p w14:paraId="31EDF9D8" w14:textId="753A8888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F25A3A8" w14:textId="25476BF1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1-7. Local anesthesia</w:t>
      </w:r>
    </w:p>
    <w:p w14:paraId="38D4BC4F" w14:textId="7152169D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2046C53" w14:textId="0F439553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1-8. Rubber dam application</w:t>
      </w:r>
    </w:p>
    <w:p w14:paraId="613CA948" w14:textId="49B2F447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5EBC9593" w14:textId="38E8D8EA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1-9. Topical fluoride application</w:t>
      </w:r>
    </w:p>
    <w:p w14:paraId="296F0D72" w14:textId="5E0039B6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03C3180D" w14:textId="5419ED58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1-10. Pit and fissure sealant</w:t>
      </w:r>
    </w:p>
    <w:p w14:paraId="48E9C204" w14:textId="20043F61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E7E508F" w14:textId="4FF7D49F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1-11. Scaling</w:t>
      </w:r>
    </w:p>
    <w:p w14:paraId="38657843" w14:textId="1E899ACC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EE573BC" w14:textId="56D6A2C4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1-12. Root planning</w:t>
      </w:r>
    </w:p>
    <w:p w14:paraId="16D8FB9E" w14:textId="7D50C45A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4395E1D1" w14:textId="40565A88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1-13. Simpe extraction</w:t>
      </w:r>
    </w:p>
    <w:p w14:paraId="346C88F9" w14:textId="09FE56B3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804E5C4" w14:textId="4C94504E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1-14. Suturing skills</w:t>
      </w:r>
    </w:p>
    <w:p w14:paraId="6452DB94" w14:textId="72BE4F8A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1EEF7E0D" w14:textId="69A003A0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1-15. Space management for primary and mixed dentition</w:t>
      </w:r>
    </w:p>
    <w:p w14:paraId="6C02E7C3" w14:textId="663DFA75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4C37723" w14:textId="4107E600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1-16. Oral hygiene education</w:t>
      </w:r>
    </w:p>
    <w:p w14:paraId="2EA01C7B" w14:textId="195ED5D5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39BE5F51" w14:textId="54CA77E1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1-17. Endodontic treatment</w:t>
      </w:r>
    </w:p>
    <w:p w14:paraId="12CFC4E6" w14:textId="7A1882CC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575B8BF4" w14:textId="3DA7B5EF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1-18. Amalgam restoration in posterior teeth</w:t>
      </w:r>
    </w:p>
    <w:p w14:paraId="0277BD2E" w14:textId="33E52DBD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6E14EE33" w14:textId="786CB54A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1-19. Resin composite restoration in anterior teeth</w:t>
      </w:r>
    </w:p>
    <w:p w14:paraId="2B54B499" w14:textId="027DE1A1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lastRenderedPageBreak/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3402FD35" w14:textId="6046D4F6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1-20. Gold inlay cavity preparation in posterior teeth</w:t>
      </w:r>
    </w:p>
    <w:p w14:paraId="36D97102" w14:textId="32459EAD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71B8BCA2" w14:textId="6E76CF01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1-21. Gold crown preparation in posterior teeth and fabrication of temporary crown</w:t>
      </w:r>
    </w:p>
    <w:p w14:paraId="328FDB64" w14:textId="3164C8F3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p w14:paraId="5F3687B5" w14:textId="4591E275" w:rsidR="00C82D33" w:rsidRPr="00EC1014" w:rsidRDefault="00C82D33" w:rsidP="00EC1014">
      <w:pPr>
        <w:wordWrap/>
        <w:spacing w:after="0" w:line="360" w:lineRule="auto"/>
        <w:rPr>
          <w:rFonts w:ascii="Garamond" w:hAnsi="Garamond"/>
          <w:color w:val="000000" w:themeColor="text1"/>
          <w:sz w:val="22"/>
        </w:rPr>
      </w:pPr>
      <w:r w:rsidRPr="00EC1014">
        <w:rPr>
          <w:rFonts w:ascii="Garamond" w:hAnsi="Garamond"/>
          <w:color w:val="000000" w:themeColor="text1"/>
          <w:sz w:val="22"/>
        </w:rPr>
        <w:t>1-22. Porcelain fused to metal crown in anterior teeth and fabrication of temporary crown</w:t>
      </w:r>
    </w:p>
    <w:p w14:paraId="14173CF4" w14:textId="7EC6F2FD" w:rsidR="00547AED" w:rsidRPr="00EC1014" w:rsidRDefault="00547AED" w:rsidP="00EC1014">
      <w:pPr>
        <w:tabs>
          <w:tab w:val="left" w:pos="260"/>
        </w:tabs>
        <w:wordWrap/>
        <w:spacing w:after="0" w:line="360" w:lineRule="auto"/>
        <w:ind w:firstLineChars="100" w:firstLine="220"/>
        <w:rPr>
          <w:rFonts w:ascii="Garamond" w:hAnsi="Garamond"/>
          <w:color w:val="000000" w:themeColor="text1"/>
          <w:sz w:val="22"/>
        </w:rPr>
      </w:pP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①</w:t>
      </w:r>
      <w:r w:rsidRPr="00EC1014">
        <w:rPr>
          <w:rFonts w:ascii="Garamond" w:hAnsi="Garamond"/>
          <w:color w:val="000000" w:themeColor="text1"/>
          <w:sz w:val="22"/>
        </w:rPr>
        <w:t xml:space="preserve"> Strongly </w:t>
      </w:r>
      <w:proofErr w:type="gramStart"/>
      <w:r w:rsidRPr="00EC1014">
        <w:rPr>
          <w:rFonts w:ascii="Garamond" w:hAnsi="Garamond"/>
          <w:color w:val="000000" w:themeColor="text1"/>
          <w:sz w:val="22"/>
        </w:rPr>
        <w:t xml:space="preserve">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②</w:t>
      </w:r>
      <w:proofErr w:type="gramEnd"/>
      <w:r w:rsidRPr="00EC1014">
        <w:rPr>
          <w:rFonts w:ascii="Garamond" w:hAnsi="Garamond"/>
          <w:color w:val="000000" w:themeColor="text1"/>
          <w:sz w:val="22"/>
        </w:rPr>
        <w:t xml:space="preserve"> Disagree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③</w:t>
      </w:r>
      <w:r w:rsidRPr="00EC1014">
        <w:rPr>
          <w:rFonts w:ascii="Garamond" w:hAnsi="Garamond"/>
          <w:color w:val="000000" w:themeColor="text1"/>
          <w:sz w:val="22"/>
        </w:rPr>
        <w:t xml:space="preserve"> Neutral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④</w:t>
      </w:r>
      <w:r w:rsidRPr="00EC1014">
        <w:rPr>
          <w:rFonts w:ascii="Garamond" w:hAnsi="Garamond"/>
          <w:color w:val="000000" w:themeColor="text1"/>
          <w:sz w:val="22"/>
        </w:rPr>
        <w:t xml:space="preserve"> Agree  </w:t>
      </w:r>
      <w:r w:rsidRPr="00EC1014">
        <w:rPr>
          <w:rFonts w:ascii="맑은 고딕" w:eastAsia="맑은 고딕" w:hAnsi="맑은 고딕" w:cs="맑은 고딕" w:hint="eastAsia"/>
          <w:color w:val="000000" w:themeColor="text1"/>
          <w:sz w:val="22"/>
        </w:rPr>
        <w:t>⑤</w:t>
      </w:r>
      <w:r w:rsidRPr="00EC1014">
        <w:rPr>
          <w:rFonts w:ascii="Garamond" w:hAnsi="Garamond"/>
          <w:color w:val="000000" w:themeColor="text1"/>
          <w:sz w:val="22"/>
        </w:rPr>
        <w:t xml:space="preserve"> Strongly agree</w:t>
      </w:r>
    </w:p>
    <w:sectPr w:rsidR="00547AED" w:rsidRPr="00EC1014" w:rsidSect="00EC101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B0DFC" w14:textId="77777777" w:rsidR="00E608B7" w:rsidRDefault="00E608B7" w:rsidP="00547AED">
      <w:pPr>
        <w:spacing w:after="0" w:line="240" w:lineRule="auto"/>
      </w:pPr>
      <w:r>
        <w:separator/>
      </w:r>
    </w:p>
  </w:endnote>
  <w:endnote w:type="continuationSeparator" w:id="0">
    <w:p w14:paraId="5051DE39" w14:textId="77777777" w:rsidR="00E608B7" w:rsidRDefault="00E608B7" w:rsidP="0054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36EB" w14:textId="77777777" w:rsidR="00E608B7" w:rsidRDefault="00E608B7" w:rsidP="00547AED">
      <w:pPr>
        <w:spacing w:after="0" w:line="240" w:lineRule="auto"/>
      </w:pPr>
      <w:r>
        <w:separator/>
      </w:r>
    </w:p>
  </w:footnote>
  <w:footnote w:type="continuationSeparator" w:id="0">
    <w:p w14:paraId="70221594" w14:textId="77777777" w:rsidR="00E608B7" w:rsidRDefault="00E608B7" w:rsidP="0054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1D"/>
    <w:rsid w:val="00153B1D"/>
    <w:rsid w:val="002426CB"/>
    <w:rsid w:val="002957D9"/>
    <w:rsid w:val="0034368F"/>
    <w:rsid w:val="003F3DB5"/>
    <w:rsid w:val="00547AED"/>
    <w:rsid w:val="00786309"/>
    <w:rsid w:val="008D2924"/>
    <w:rsid w:val="009572E7"/>
    <w:rsid w:val="00975376"/>
    <w:rsid w:val="009F78F0"/>
    <w:rsid w:val="00AA3D43"/>
    <w:rsid w:val="00C13041"/>
    <w:rsid w:val="00C82D33"/>
    <w:rsid w:val="00E42047"/>
    <w:rsid w:val="00E608B7"/>
    <w:rsid w:val="00E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71EE"/>
  <w15:chartTrackingRefBased/>
  <w15:docId w15:val="{4F74BCDC-3FC5-47AF-ACD7-11650BE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3B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3B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3B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3B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3B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3B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3B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3B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3B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3B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3B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3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3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3B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3B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3B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3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3B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3B1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547AE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547AED"/>
  </w:style>
  <w:style w:type="paragraph" w:styleId="ac">
    <w:name w:val="footer"/>
    <w:basedOn w:val="a"/>
    <w:link w:val="Char4"/>
    <w:uiPriority w:val="99"/>
    <w:unhideWhenUsed/>
    <w:rsid w:val="00547AE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54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C87A-E565-4F23-A75F-A7EB166F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KimJH</dc:creator>
  <cp:keywords/>
  <dc:description/>
  <cp:lastModifiedBy>HJ KIM</cp:lastModifiedBy>
  <cp:revision>3</cp:revision>
  <dcterms:created xsi:type="dcterms:W3CDTF">2024-06-02T00:57:00Z</dcterms:created>
  <dcterms:modified xsi:type="dcterms:W3CDTF">2024-06-02T07:53:00Z</dcterms:modified>
</cp:coreProperties>
</file>