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13" w:rsidRPr="00C500F6" w:rsidRDefault="00A77B13" w:rsidP="00A77B13">
      <w:pPr>
        <w:wordWrap/>
        <w:autoSpaceDE/>
        <w:autoSpaceDN/>
        <w:spacing w:after="0" w:line="480" w:lineRule="auto"/>
        <w:rPr>
          <w:rFonts w:cs="Times New Roman"/>
          <w:color w:val="000000" w:themeColor="text1"/>
          <w:sz w:val="22"/>
          <w:szCs w:val="22"/>
          <w:lang w:eastAsia="zh-TW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t>Supplement 8.</w:t>
      </w:r>
      <w:r w:rsidRPr="00C500F6">
        <w:rPr>
          <w:rFonts w:cs="Times New Roman"/>
          <w:color w:val="000000" w:themeColor="text1"/>
          <w:sz w:val="22"/>
          <w:szCs w:val="22"/>
          <w:lang w:eastAsia="zh-TW"/>
        </w:rPr>
        <w:t xml:space="preserve"> The </w:t>
      </w:r>
      <w:r w:rsidRPr="00850C02">
        <w:rPr>
          <w:rFonts w:cs="Times New Roman"/>
          <w:color w:val="000000" w:themeColor="text1"/>
          <w:sz w:val="22"/>
          <w:szCs w:val="22"/>
          <w:lang w:eastAsia="zh-TW"/>
        </w:rPr>
        <w:t>distribution of 5th- and 6th-year medical</w:t>
      </w:r>
      <w:r w:rsidRPr="00C500F6">
        <w:rPr>
          <w:rFonts w:cs="Times New Roman"/>
          <w:color w:val="000000" w:themeColor="text1"/>
          <w:sz w:val="22"/>
          <w:szCs w:val="22"/>
          <w:lang w:eastAsia="zh-TW"/>
        </w:rPr>
        <w:t xml:space="preserve"> </w:t>
      </w:r>
      <w:r w:rsidRPr="00850C02">
        <w:rPr>
          <w:rFonts w:cs="Times New Roman"/>
          <w:color w:val="000000" w:themeColor="text1"/>
          <w:sz w:val="22"/>
          <w:szCs w:val="22"/>
          <w:lang w:eastAsia="zh-TW"/>
        </w:rPr>
        <w:t>students’ 1st sc</w:t>
      </w:r>
      <w:r w:rsidRPr="00C500F6">
        <w:rPr>
          <w:rFonts w:cs="Times New Roman"/>
          <w:color w:val="000000" w:themeColor="text1"/>
          <w:sz w:val="22"/>
          <w:szCs w:val="22"/>
          <w:lang w:eastAsia="zh-TW"/>
        </w:rPr>
        <w:t>ore of self-assessed efficacy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655"/>
        <w:gridCol w:w="2655"/>
        <w:gridCol w:w="1307"/>
      </w:tblGrid>
      <w:tr w:rsidR="00A77B13" w:rsidRPr="00850C02" w:rsidTr="00E47897">
        <w:trPr>
          <w:trHeight w:val="285"/>
        </w:trPr>
        <w:tc>
          <w:tcPr>
            <w:tcW w:w="1334" w:type="pct"/>
            <w:vMerge w:val="restart"/>
            <w:vAlign w:val="center"/>
          </w:tcPr>
          <w:p w:rsidR="00A77B13" w:rsidRPr="00850C02" w:rsidRDefault="00A77B13" w:rsidP="00E47897">
            <w:pPr>
              <w:spacing w:line="480" w:lineRule="auto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Statements of checklists</w:t>
            </w:r>
          </w:p>
        </w:tc>
        <w:tc>
          <w:tcPr>
            <w:tcW w:w="3666" w:type="pct"/>
            <w:gridSpan w:val="3"/>
            <w:hideMark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1st score of self-assessed efficacy</w:t>
            </w:r>
          </w:p>
        </w:tc>
      </w:tr>
      <w:tr w:rsidR="00A77B13" w:rsidRPr="00850C02" w:rsidTr="00E47897">
        <w:trPr>
          <w:trHeight w:val="47"/>
        </w:trPr>
        <w:tc>
          <w:tcPr>
            <w:tcW w:w="1334" w:type="pct"/>
            <w:vMerge/>
            <w:tcBorders>
              <w:bottom w:val="single" w:sz="4" w:space="0" w:color="auto"/>
            </w:tcBorders>
            <w:hideMark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rPr>
                <w:rFonts w:cs="Times New Roman"/>
                <w:color w:val="000000" w:themeColor="text1"/>
                <w:lang w:eastAsia="zh-TW"/>
              </w:rPr>
            </w:pPr>
          </w:p>
        </w:tc>
        <w:tc>
          <w:tcPr>
            <w:tcW w:w="14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5th-year medical students (N=25)</w:t>
            </w:r>
          </w:p>
        </w:tc>
        <w:tc>
          <w:tcPr>
            <w:tcW w:w="14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6th-year medical students (N=120)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P</w:t>
            </w:r>
            <w:r>
              <w:rPr>
                <w:rFonts w:cs="Times New Roman"/>
                <w:color w:val="000000" w:themeColor="text1"/>
                <w:lang w:eastAsia="zh-TW"/>
              </w:rPr>
              <w:t>-</w:t>
            </w:r>
            <w:r w:rsidRPr="00850C02">
              <w:rPr>
                <w:rFonts w:cs="Times New Roman"/>
                <w:color w:val="000000" w:themeColor="text1"/>
                <w:lang w:eastAsia="zh-TW"/>
              </w:rPr>
              <w:t>value</w:t>
            </w:r>
          </w:p>
        </w:tc>
      </w:tr>
      <w:tr w:rsidR="00A77B13" w:rsidRPr="00850C02" w:rsidTr="00E47897">
        <w:trPr>
          <w:trHeight w:val="77"/>
        </w:trPr>
        <w:tc>
          <w:tcPr>
            <w:tcW w:w="1334" w:type="pct"/>
            <w:tcBorders>
              <w:top w:val="single" w:sz="4" w:space="0" w:color="auto"/>
              <w:bottom w:val="nil"/>
            </w:tcBorders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No. in ETI</w:t>
            </w:r>
          </w:p>
        </w:tc>
        <w:tc>
          <w:tcPr>
            <w:tcW w:w="1471" w:type="pct"/>
            <w:tcBorders>
              <w:top w:val="single" w:sz="4" w:space="0" w:color="auto"/>
              <w:bottom w:val="nil"/>
            </w:tcBorders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  <w:tc>
          <w:tcPr>
            <w:tcW w:w="1471" w:type="pct"/>
            <w:tcBorders>
              <w:top w:val="single" w:sz="4" w:space="0" w:color="auto"/>
              <w:bottom w:val="nil"/>
            </w:tcBorders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nil"/>
            </w:tcBorders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</w:tr>
      <w:tr w:rsidR="00A77B13" w:rsidRPr="00850C02" w:rsidTr="00E47897">
        <w:trPr>
          <w:trHeight w:val="77"/>
        </w:trPr>
        <w:tc>
          <w:tcPr>
            <w:tcW w:w="1334" w:type="pct"/>
            <w:tcBorders>
              <w:top w:val="nil"/>
            </w:tcBorders>
            <w:hideMark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ind w:leftChars="150" w:left="300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ET1</w:t>
            </w:r>
          </w:p>
        </w:tc>
        <w:tc>
          <w:tcPr>
            <w:tcW w:w="1471" w:type="pct"/>
            <w:tcBorders>
              <w:top w:val="nil"/>
            </w:tcBorders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1.12±1.01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850C02">
              <w:rPr>
                <w:rFonts w:cs="Times New Roman"/>
                <w:color w:val="000000" w:themeColor="text1"/>
                <w:lang w:eastAsia="zh-TW"/>
              </w:rPr>
              <w:t>0.70</w:t>
            </w:r>
            <w:r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850C02">
              <w:rPr>
                <w:rFonts w:cs="Times New Roman"/>
                <w:color w:val="000000" w:themeColor="text1"/>
                <w:lang w:eastAsia="zh-TW"/>
              </w:rPr>
              <w:t>1.54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1471" w:type="pct"/>
            <w:tcBorders>
              <w:top w:val="nil"/>
            </w:tcBorders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color w:val="000000" w:themeColor="text1"/>
              </w:rPr>
              <w:t>1.47±1.31</w:t>
            </w:r>
            <w:r>
              <w:rPr>
                <w:color w:val="000000" w:themeColor="text1"/>
              </w:rPr>
              <w:t xml:space="preserve"> (</w:t>
            </w:r>
            <w:r w:rsidRPr="00850C02">
              <w:rPr>
                <w:color w:val="000000" w:themeColor="text1"/>
              </w:rPr>
              <w:t>1.31</w:t>
            </w:r>
            <w:r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850C02">
              <w:rPr>
                <w:color w:val="000000" w:themeColor="text1"/>
              </w:rPr>
              <w:t>1.63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724" w:type="pct"/>
            <w:tcBorders>
              <w:top w:val="nil"/>
            </w:tcBorders>
            <w:hideMark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0.08</w:t>
            </w:r>
          </w:p>
        </w:tc>
      </w:tr>
      <w:tr w:rsidR="00A77B13" w:rsidRPr="00850C02" w:rsidTr="00E47897">
        <w:tc>
          <w:tcPr>
            <w:tcW w:w="1334" w:type="pct"/>
            <w:hideMark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ind w:leftChars="150" w:left="300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ET2</w:t>
            </w:r>
          </w:p>
        </w:tc>
        <w:tc>
          <w:tcPr>
            <w:tcW w:w="1471" w:type="pct"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1.44±0.92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850C02">
              <w:rPr>
                <w:rFonts w:cs="Times New Roman"/>
                <w:color w:val="000000" w:themeColor="text1"/>
                <w:lang w:eastAsia="zh-TW"/>
              </w:rPr>
              <w:t>1.06</w:t>
            </w:r>
            <w:r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850C02">
              <w:rPr>
                <w:rFonts w:cs="Times New Roman"/>
                <w:color w:val="000000" w:themeColor="text1"/>
                <w:lang w:eastAsia="zh-TW"/>
              </w:rPr>
              <w:t>1.82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1471" w:type="pct"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color w:val="000000" w:themeColor="text1"/>
              </w:rPr>
              <w:t>1.58±1.44</w:t>
            </w:r>
            <w:r>
              <w:rPr>
                <w:color w:val="000000" w:themeColor="text1"/>
              </w:rPr>
              <w:t xml:space="preserve"> (</w:t>
            </w:r>
            <w:r w:rsidRPr="00850C02">
              <w:rPr>
                <w:color w:val="000000" w:themeColor="text1"/>
              </w:rPr>
              <w:t>1.44</w:t>
            </w:r>
            <w:r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850C02">
              <w:rPr>
                <w:color w:val="000000" w:themeColor="text1"/>
              </w:rPr>
              <w:t>1.73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724" w:type="pct"/>
            <w:hideMark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0.43</w:t>
            </w:r>
          </w:p>
        </w:tc>
      </w:tr>
      <w:tr w:rsidR="00A77B13" w:rsidRPr="00850C02" w:rsidTr="00E47897">
        <w:trPr>
          <w:trHeight w:val="70"/>
        </w:trPr>
        <w:tc>
          <w:tcPr>
            <w:tcW w:w="1334" w:type="pct"/>
            <w:hideMark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ind w:leftChars="150" w:left="300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ET3</w:t>
            </w:r>
          </w:p>
        </w:tc>
        <w:tc>
          <w:tcPr>
            <w:tcW w:w="1471" w:type="pct"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1.44±0.92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850C02">
              <w:rPr>
                <w:rFonts w:cs="Times New Roman"/>
                <w:color w:val="000000" w:themeColor="text1"/>
                <w:lang w:eastAsia="zh-TW"/>
              </w:rPr>
              <w:t>1.06</w:t>
            </w:r>
            <w:r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850C02">
              <w:rPr>
                <w:rFonts w:cs="Times New Roman"/>
                <w:color w:val="000000" w:themeColor="text1"/>
                <w:lang w:eastAsia="zh-TW"/>
              </w:rPr>
              <w:t>1.82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1471" w:type="pct"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color w:val="000000" w:themeColor="text1"/>
              </w:rPr>
              <w:t>1.42±1.25</w:t>
            </w:r>
            <w:r>
              <w:rPr>
                <w:color w:val="000000" w:themeColor="text1"/>
              </w:rPr>
              <w:t xml:space="preserve"> (</w:t>
            </w:r>
            <w:r w:rsidRPr="00850C02">
              <w:rPr>
                <w:color w:val="000000" w:themeColor="text1"/>
              </w:rPr>
              <w:t>1.25</w:t>
            </w:r>
            <w:r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850C02">
              <w:rPr>
                <w:color w:val="000000" w:themeColor="text1"/>
              </w:rPr>
              <w:t>1.58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724" w:type="pct"/>
            <w:hideMark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0.90</w:t>
            </w:r>
          </w:p>
        </w:tc>
      </w:tr>
      <w:tr w:rsidR="00A77B13" w:rsidRPr="00850C02" w:rsidTr="00E47897">
        <w:tc>
          <w:tcPr>
            <w:tcW w:w="1334" w:type="pct"/>
            <w:hideMark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ind w:leftChars="150" w:left="300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ET4</w:t>
            </w:r>
          </w:p>
        </w:tc>
        <w:tc>
          <w:tcPr>
            <w:tcW w:w="1471" w:type="pct"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1.60±0.82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850C02">
              <w:rPr>
                <w:rFonts w:cs="Times New Roman"/>
                <w:color w:val="000000" w:themeColor="text1"/>
                <w:lang w:eastAsia="zh-TW"/>
              </w:rPr>
              <w:t>1.26</w:t>
            </w:r>
            <w:r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850C02">
              <w:rPr>
                <w:rFonts w:cs="Times New Roman"/>
                <w:color w:val="000000" w:themeColor="text1"/>
                <w:lang w:eastAsia="zh-TW"/>
              </w:rPr>
              <w:t>1.94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1471" w:type="pct"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color w:val="000000" w:themeColor="text1"/>
              </w:rPr>
              <w:t>1.60±1.45</w:t>
            </w:r>
            <w:r>
              <w:rPr>
                <w:color w:val="000000" w:themeColor="text1"/>
              </w:rPr>
              <w:t xml:space="preserve"> (</w:t>
            </w:r>
            <w:r w:rsidRPr="00850C02">
              <w:rPr>
                <w:color w:val="000000" w:themeColor="text1"/>
              </w:rPr>
              <w:t>1.45</w:t>
            </w:r>
            <w:r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850C02">
              <w:rPr>
                <w:color w:val="000000" w:themeColor="text1"/>
              </w:rPr>
              <w:t>1.75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724" w:type="pct"/>
            <w:hideMark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1.00</w:t>
            </w:r>
          </w:p>
        </w:tc>
      </w:tr>
      <w:tr w:rsidR="00A77B13" w:rsidRPr="00850C02" w:rsidTr="00E47897">
        <w:tc>
          <w:tcPr>
            <w:tcW w:w="1334" w:type="pct"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No. in CVC</w:t>
            </w:r>
          </w:p>
        </w:tc>
        <w:tc>
          <w:tcPr>
            <w:tcW w:w="1471" w:type="pct"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  <w:tc>
          <w:tcPr>
            <w:tcW w:w="1471" w:type="pct"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4" w:type="pct"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</w:tr>
      <w:tr w:rsidR="00A77B13" w:rsidRPr="00850C02" w:rsidTr="00E47897">
        <w:tc>
          <w:tcPr>
            <w:tcW w:w="1334" w:type="pct"/>
            <w:hideMark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ind w:leftChars="150" w:left="300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CVC1</w:t>
            </w:r>
          </w:p>
        </w:tc>
        <w:tc>
          <w:tcPr>
            <w:tcW w:w="1471" w:type="pct"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0.80±1.00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850C02">
              <w:rPr>
                <w:rFonts w:cs="Times New Roman"/>
                <w:color w:val="000000" w:themeColor="text1"/>
                <w:lang w:eastAsia="zh-TW"/>
              </w:rPr>
              <w:t>0.39</w:t>
            </w:r>
            <w:r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850C02">
              <w:rPr>
                <w:rFonts w:cs="Times New Roman"/>
                <w:color w:val="000000" w:themeColor="text1"/>
                <w:lang w:eastAsia="zh-TW"/>
              </w:rPr>
              <w:t>1.21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1471" w:type="pct"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color w:val="000000" w:themeColor="text1"/>
              </w:rPr>
              <w:t>1.05±0.87</w:t>
            </w:r>
            <w:r>
              <w:rPr>
                <w:color w:val="000000" w:themeColor="text1"/>
              </w:rPr>
              <w:t xml:space="preserve"> (</w:t>
            </w:r>
            <w:r w:rsidRPr="00850C02">
              <w:rPr>
                <w:color w:val="000000" w:themeColor="text1"/>
              </w:rPr>
              <w:t>0.87</w:t>
            </w:r>
            <w:r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850C02">
              <w:rPr>
                <w:color w:val="000000" w:themeColor="text1"/>
              </w:rPr>
              <w:t>1.23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724" w:type="pct"/>
            <w:hideMark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0.25</w:t>
            </w:r>
          </w:p>
        </w:tc>
      </w:tr>
      <w:tr w:rsidR="00A77B13" w:rsidRPr="00850C02" w:rsidTr="00E47897">
        <w:trPr>
          <w:trHeight w:val="70"/>
        </w:trPr>
        <w:tc>
          <w:tcPr>
            <w:tcW w:w="1334" w:type="pct"/>
            <w:hideMark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ind w:leftChars="150" w:left="300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CVC2</w:t>
            </w:r>
          </w:p>
        </w:tc>
        <w:tc>
          <w:tcPr>
            <w:tcW w:w="1471" w:type="pct"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0.72±0.98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850C02">
              <w:rPr>
                <w:rFonts w:cs="Times New Roman"/>
                <w:color w:val="000000" w:themeColor="text1"/>
                <w:lang w:eastAsia="zh-TW"/>
              </w:rPr>
              <w:t>0.32</w:t>
            </w:r>
            <w:r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850C02">
              <w:rPr>
                <w:rFonts w:cs="Times New Roman"/>
                <w:color w:val="000000" w:themeColor="text1"/>
                <w:lang w:eastAsia="zh-TW"/>
              </w:rPr>
              <w:t>1.12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1471" w:type="pct"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color w:val="000000" w:themeColor="text1"/>
              </w:rPr>
              <w:t>0.82±0.64</w:t>
            </w:r>
            <w:r>
              <w:rPr>
                <w:color w:val="000000" w:themeColor="text1"/>
              </w:rPr>
              <w:t xml:space="preserve"> (</w:t>
            </w:r>
            <w:r w:rsidRPr="00850C02">
              <w:rPr>
                <w:color w:val="000000" w:themeColor="text1"/>
              </w:rPr>
              <w:t>0.64</w:t>
            </w:r>
            <w:r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850C02">
              <w:rPr>
                <w:color w:val="000000" w:themeColor="text1"/>
              </w:rPr>
              <w:t>1.00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724" w:type="pct"/>
            <w:hideMark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0.65</w:t>
            </w:r>
          </w:p>
        </w:tc>
      </w:tr>
      <w:tr w:rsidR="00A77B13" w:rsidRPr="00850C02" w:rsidTr="00E47897">
        <w:trPr>
          <w:trHeight w:val="163"/>
        </w:trPr>
        <w:tc>
          <w:tcPr>
            <w:tcW w:w="1334" w:type="pct"/>
            <w:hideMark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ind w:leftChars="150" w:left="300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CVC3</w:t>
            </w:r>
          </w:p>
        </w:tc>
        <w:tc>
          <w:tcPr>
            <w:tcW w:w="1471" w:type="pct"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0.80±1.00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850C02">
              <w:rPr>
                <w:rFonts w:cs="Times New Roman"/>
                <w:color w:val="000000" w:themeColor="text1"/>
                <w:lang w:eastAsia="zh-TW"/>
              </w:rPr>
              <w:t>0.39</w:t>
            </w:r>
            <w:r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850C02">
              <w:rPr>
                <w:rFonts w:cs="Times New Roman"/>
                <w:color w:val="000000" w:themeColor="text1"/>
                <w:lang w:eastAsia="zh-TW"/>
              </w:rPr>
              <w:t>1.21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1471" w:type="pct"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color w:val="000000" w:themeColor="text1"/>
              </w:rPr>
              <w:t>1.02±0.84</w:t>
            </w:r>
            <w:r>
              <w:rPr>
                <w:color w:val="000000" w:themeColor="text1"/>
              </w:rPr>
              <w:t xml:space="preserve"> (</w:t>
            </w:r>
            <w:r w:rsidRPr="00850C02">
              <w:rPr>
                <w:color w:val="000000" w:themeColor="text1"/>
              </w:rPr>
              <w:t>0.84</w:t>
            </w:r>
            <w:r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850C02">
              <w:rPr>
                <w:color w:val="000000" w:themeColor="text1"/>
              </w:rPr>
              <w:t>1.20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724" w:type="pct"/>
            <w:hideMark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0.32</w:t>
            </w:r>
          </w:p>
        </w:tc>
      </w:tr>
      <w:tr w:rsidR="00A77B13" w:rsidRPr="00850C02" w:rsidTr="00E47897">
        <w:trPr>
          <w:trHeight w:val="70"/>
        </w:trPr>
        <w:tc>
          <w:tcPr>
            <w:tcW w:w="1334" w:type="pct"/>
            <w:hideMark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ind w:leftChars="150" w:left="300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CVC4</w:t>
            </w:r>
          </w:p>
        </w:tc>
        <w:tc>
          <w:tcPr>
            <w:tcW w:w="1471" w:type="pct"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0.72±0.98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850C02">
              <w:rPr>
                <w:rFonts w:cs="Times New Roman"/>
                <w:color w:val="000000" w:themeColor="text1"/>
                <w:lang w:eastAsia="zh-TW"/>
              </w:rPr>
              <w:t>0.32</w:t>
            </w:r>
            <w:r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850C02">
              <w:rPr>
                <w:rFonts w:cs="Times New Roman"/>
                <w:color w:val="000000" w:themeColor="text1"/>
                <w:lang w:eastAsia="zh-TW"/>
              </w:rPr>
              <w:t>1.12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1471" w:type="pct"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color w:val="000000" w:themeColor="text1"/>
              </w:rPr>
              <w:t>0.95±0.77</w:t>
            </w:r>
            <w:r>
              <w:rPr>
                <w:color w:val="000000" w:themeColor="text1"/>
              </w:rPr>
              <w:t xml:space="preserve"> (</w:t>
            </w:r>
            <w:r w:rsidRPr="00850C02">
              <w:rPr>
                <w:color w:val="000000" w:themeColor="text1"/>
              </w:rPr>
              <w:t>0.77</w:t>
            </w:r>
            <w:r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850C02">
              <w:rPr>
                <w:color w:val="000000" w:themeColor="text1"/>
              </w:rPr>
              <w:t>1.13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724" w:type="pct"/>
            <w:hideMark/>
          </w:tcPr>
          <w:p w:rsidR="00A77B13" w:rsidRPr="00850C02" w:rsidRDefault="00A77B1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850C02">
              <w:rPr>
                <w:rFonts w:cs="Times New Roman"/>
                <w:color w:val="000000" w:themeColor="text1"/>
                <w:lang w:eastAsia="zh-TW"/>
              </w:rPr>
              <w:t>0.29</w:t>
            </w:r>
          </w:p>
        </w:tc>
      </w:tr>
    </w:tbl>
    <w:p w:rsidR="00A77B13" w:rsidRDefault="00A77B13" w:rsidP="00A77B13">
      <w:pPr>
        <w:wordWrap/>
        <w:autoSpaceDE/>
        <w:autoSpaceDN/>
        <w:spacing w:beforeLines="50" w:before="120" w:after="0" w:line="480" w:lineRule="auto"/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</w:pPr>
      <w:r w:rsidRPr="00850C02"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>Values are presented as mean</w:t>
      </w:r>
      <w:r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 xml:space="preserve"> </w:t>
      </w:r>
      <w:proofErr w:type="spellStart"/>
      <w:r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>score</w:t>
      </w:r>
      <w:r w:rsidRPr="00850C02"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>±standard</w:t>
      </w:r>
      <w:proofErr w:type="spellEnd"/>
      <w:r w:rsidRPr="00850C02"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 xml:space="preserve"> deviation </w:t>
      </w:r>
      <w:r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>(95% confidence interval)</w:t>
      </w:r>
      <w:r w:rsidRPr="00850C02"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>.</w:t>
      </w:r>
    </w:p>
    <w:p w:rsidR="00A77B13" w:rsidRPr="00C500F6" w:rsidRDefault="00A77B13" w:rsidP="00A77B13">
      <w:pPr>
        <w:widowControl/>
        <w:wordWrap/>
        <w:autoSpaceDE/>
        <w:autoSpaceDN/>
        <w:spacing w:after="0" w:line="480" w:lineRule="auto"/>
        <w:rPr>
          <w:rFonts w:cs="Arial"/>
          <w:iCs/>
          <w:color w:val="000000" w:themeColor="text1"/>
          <w:sz w:val="22"/>
          <w:szCs w:val="22"/>
        </w:rPr>
      </w:pPr>
      <w:r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ETI, e</w:t>
      </w:r>
      <w:r w:rsidRPr="00E86F21"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ndotracheal intubation</w:t>
      </w:r>
      <w:r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;</w:t>
      </w:r>
      <w:r w:rsidRPr="00E86F21">
        <w:rPr>
          <w:rFonts w:eastAsia="DFKai-SB" w:cs="Times New Roman"/>
          <w:bCs/>
          <w:color w:val="000000" w:themeColor="text1"/>
          <w:kern w:val="0"/>
          <w:sz w:val="22"/>
          <w:szCs w:val="22"/>
          <w:lang w:eastAsia="zh-TW"/>
        </w:rPr>
        <w:t xml:space="preserve"> </w:t>
      </w:r>
      <w:r>
        <w:rPr>
          <w:rFonts w:eastAsia="DFKai-SB" w:cs="Times New Roman"/>
          <w:bCs/>
          <w:color w:val="000000" w:themeColor="text1"/>
          <w:kern w:val="0"/>
          <w:sz w:val="22"/>
          <w:szCs w:val="22"/>
          <w:lang w:eastAsia="zh-TW"/>
        </w:rPr>
        <w:t xml:space="preserve">CVC, </w:t>
      </w:r>
      <w:r w:rsidRPr="00E86F21"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central venous catheterization</w:t>
      </w:r>
      <w:r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.</w:t>
      </w:r>
    </w:p>
    <w:p w:rsidR="00A77B13" w:rsidRDefault="00A77B13" w:rsidP="00A77B13">
      <w:pPr>
        <w:wordWrap/>
        <w:autoSpaceDE/>
        <w:autoSpaceDN/>
        <w:spacing w:after="0" w:line="480" w:lineRule="auto"/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</w:pPr>
    </w:p>
    <w:p w:rsidR="00724A50" w:rsidRPr="00A77B13" w:rsidRDefault="00724A50">
      <w:bookmarkStart w:id="0" w:name="_GoBack"/>
      <w:bookmarkEnd w:id="0"/>
    </w:p>
    <w:sectPr w:rsidR="00724A50" w:rsidRPr="00A77B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 U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JhengHei"/>
    <w:charset w:val="88"/>
    <w:family w:val="script"/>
    <w:pitch w:val="fixed"/>
    <w:sig w:usb0="00000000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13"/>
    <w:rsid w:val="00724A50"/>
    <w:rsid w:val="00A7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F46AF-A79B-4EAD-8C15-FA8B23A1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13"/>
    <w:pPr>
      <w:widowControl w:val="0"/>
      <w:wordWrap w:val="0"/>
      <w:autoSpaceDE w:val="0"/>
      <w:autoSpaceDN w:val="0"/>
    </w:pPr>
    <w:rPr>
      <w:rFonts w:ascii="Garamond" w:hAnsi="Garamond"/>
      <w:color w:val="C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B13"/>
    <w:pPr>
      <w:spacing w:after="0" w:line="240" w:lineRule="auto"/>
    </w:pPr>
    <w:rPr>
      <w:rFonts w:ascii="Garamond" w:hAnsi="Garamond"/>
      <w:color w:val="C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cmc</cp:lastModifiedBy>
  <cp:revision>1</cp:revision>
  <dcterms:created xsi:type="dcterms:W3CDTF">2022-09-28T06:55:00Z</dcterms:created>
  <dcterms:modified xsi:type="dcterms:W3CDTF">2022-09-28T06:57:00Z</dcterms:modified>
</cp:coreProperties>
</file>