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72C23" w14:textId="4051873D" w:rsidR="00504A26" w:rsidRPr="00C500F6" w:rsidRDefault="00C500F6" w:rsidP="00C500F6">
      <w:pPr>
        <w:wordWrap/>
        <w:spacing w:after="0" w:line="480" w:lineRule="auto"/>
        <w:rPr>
          <w:rFonts w:eastAsia="PMingLiU" w:cs="Times New Roman"/>
          <w:color w:val="000000" w:themeColor="text1"/>
          <w:sz w:val="22"/>
          <w:szCs w:val="22"/>
          <w:lang w:eastAsia="zh-TW"/>
        </w:rPr>
      </w:pPr>
      <w:bookmarkStart w:id="0" w:name="_GoBack"/>
      <w:bookmarkEnd w:id="0"/>
      <w:r>
        <w:rPr>
          <w:rFonts w:cs="Times New Roman"/>
          <w:b/>
          <w:bCs/>
          <w:color w:val="000000" w:themeColor="text1"/>
          <w:sz w:val="22"/>
          <w:szCs w:val="22"/>
        </w:rPr>
        <w:t>Supplement</w:t>
      </w:r>
      <w:r w:rsidR="00504A26" w:rsidRPr="00C500F6">
        <w:rPr>
          <w:rFonts w:cs="Times New Roman"/>
          <w:b/>
          <w:color w:val="000000" w:themeColor="text1"/>
          <w:sz w:val="22"/>
          <w:szCs w:val="22"/>
          <w:lang w:eastAsia="zh-TW"/>
        </w:rPr>
        <w:t xml:space="preserve"> 1</w:t>
      </w:r>
      <w:r>
        <w:rPr>
          <w:rFonts w:cs="Times New Roman"/>
          <w:b/>
          <w:color w:val="000000" w:themeColor="text1"/>
          <w:sz w:val="22"/>
          <w:szCs w:val="22"/>
          <w:lang w:eastAsia="zh-TW"/>
        </w:rPr>
        <w:t>2</w:t>
      </w:r>
      <w:r w:rsidR="001D1F16">
        <w:rPr>
          <w:rFonts w:cs="Times New Roman"/>
          <w:b/>
          <w:color w:val="000000" w:themeColor="text1"/>
          <w:sz w:val="22"/>
          <w:szCs w:val="22"/>
          <w:lang w:eastAsia="zh-TW"/>
        </w:rPr>
        <w:t>.</w:t>
      </w:r>
      <w:r w:rsidR="00504A26"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The distribution of medical students’ satisfaction to the statements listed in th</w:t>
      </w:r>
      <w:r w:rsidR="00504A26" w:rsidRPr="00C500F6">
        <w:rPr>
          <w:rFonts w:eastAsia="PMingLiU" w:cs="Times New Roman"/>
          <w:color w:val="000000" w:themeColor="text1"/>
          <w:sz w:val="22"/>
          <w:szCs w:val="22"/>
          <w:lang w:eastAsia="zh-TW"/>
        </w:rPr>
        <w:t xml:space="preserve">e </w:t>
      </w:r>
      <w:r w:rsidR="00504A26"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satisfaction questionnaire in control and </w:t>
      </w:r>
      <w:r w:rsidR="00694917">
        <w:rPr>
          <w:rFonts w:cs="Times New Roman"/>
          <w:color w:val="000000" w:themeColor="text1"/>
          <w:sz w:val="22"/>
          <w:szCs w:val="22"/>
          <w:lang w:eastAsia="zh-TW"/>
        </w:rPr>
        <w:t>SG</w:t>
      </w:r>
      <w:r w:rsidR="00504A26"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group</w:t>
      </w:r>
      <w:r w:rsidR="00694917">
        <w:rPr>
          <w:rFonts w:cs="Times New Roman"/>
          <w:color w:val="000000" w:themeColor="text1"/>
          <w:sz w:val="22"/>
          <w:szCs w:val="22"/>
          <w:lang w:eastAsia="zh-TW"/>
        </w:rPr>
        <w:t>s</w:t>
      </w:r>
      <w:r w:rsidR="00504A26"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of different gender</w:t>
      </w:r>
    </w:p>
    <w:tbl>
      <w:tblPr>
        <w:tblStyle w:val="a3"/>
        <w:tblW w:w="507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1984"/>
        <w:gridCol w:w="1984"/>
        <w:gridCol w:w="1276"/>
        <w:gridCol w:w="1987"/>
        <w:gridCol w:w="2129"/>
        <w:gridCol w:w="1134"/>
      </w:tblGrid>
      <w:tr w:rsidR="00D57DEF" w:rsidRPr="000B6F9B" w14:paraId="618D6683" w14:textId="7DC53810" w:rsidTr="00694917">
        <w:trPr>
          <w:trHeight w:val="350"/>
        </w:trPr>
        <w:tc>
          <w:tcPr>
            <w:tcW w:w="1224" w:type="pct"/>
            <w:vMerge w:val="restart"/>
            <w:vAlign w:val="center"/>
            <w:hideMark/>
          </w:tcPr>
          <w:p w14:paraId="50F4FCA7" w14:textId="309AA711" w:rsidR="00D57DEF" w:rsidRPr="000B6F9B" w:rsidRDefault="00D57DEF" w:rsidP="000B6F9B">
            <w:pPr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Statements of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questionnaire</w:t>
            </w:r>
          </w:p>
        </w:tc>
        <w:tc>
          <w:tcPr>
            <w:tcW w:w="3776" w:type="pct"/>
            <w:gridSpan w:val="6"/>
          </w:tcPr>
          <w:p w14:paraId="1204C2E3" w14:textId="5F25DFF7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Satisfaction regarding learning experience</w:t>
            </w:r>
          </w:p>
        </w:tc>
      </w:tr>
      <w:tr w:rsidR="00694917" w:rsidRPr="000B6F9B" w14:paraId="55ABBCA9" w14:textId="77777777" w:rsidTr="00694917">
        <w:tc>
          <w:tcPr>
            <w:tcW w:w="1224" w:type="pct"/>
            <w:vMerge/>
            <w:hideMark/>
          </w:tcPr>
          <w:p w14:paraId="636A19FC" w14:textId="0A682F33" w:rsidR="00D57DEF" w:rsidRPr="000B6F9B" w:rsidRDefault="00D57DEF" w:rsidP="001D1F16">
            <w:pPr>
              <w:wordWrap/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73D659" w14:textId="17612915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Control group</w:t>
            </w:r>
            <w:r w:rsidR="000B6F9B" w:rsidRPr="000B6F9B">
              <w:rPr>
                <w:rFonts w:cs="Times New Roman"/>
                <w:color w:val="000000" w:themeColor="text1"/>
                <w:lang w:eastAsia="zh-TW"/>
              </w:rPr>
              <w:t xml:space="preserve"> 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(N=69)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23F46" w14:textId="7F620339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P-value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E82309A" w14:textId="20E96BB1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SG group</w:t>
            </w:r>
            <w:r w:rsidR="00694917">
              <w:rPr>
                <w:rFonts w:cs="Times New Roman"/>
                <w:color w:val="000000" w:themeColor="text1"/>
                <w:lang w:eastAsia="zh-TW"/>
              </w:rPr>
              <w:t xml:space="preserve"> 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(N=76)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0018E23C" w14:textId="3AD22CC3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P-value</w:t>
            </w:r>
          </w:p>
        </w:tc>
      </w:tr>
      <w:tr w:rsidR="000B6F9B" w:rsidRPr="000B6F9B" w14:paraId="608FF438" w14:textId="77777777" w:rsidTr="00694917">
        <w:trPr>
          <w:trHeight w:val="51"/>
        </w:trPr>
        <w:tc>
          <w:tcPr>
            <w:tcW w:w="1224" w:type="pct"/>
            <w:vMerge/>
            <w:tcBorders>
              <w:bottom w:val="single" w:sz="4" w:space="0" w:color="auto"/>
            </w:tcBorders>
            <w:hideMark/>
          </w:tcPr>
          <w:p w14:paraId="38718752" w14:textId="77777777" w:rsidR="00D57DEF" w:rsidRPr="000B6F9B" w:rsidRDefault="00D57DEF" w:rsidP="001D1F16">
            <w:pPr>
              <w:wordWrap/>
              <w:spacing w:line="480" w:lineRule="auto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6139CA" w14:textId="352546DB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Female (N=25)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F2F4E5" w14:textId="3AF310A2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Male (N=44)</w:t>
            </w:r>
          </w:p>
        </w:tc>
        <w:tc>
          <w:tcPr>
            <w:tcW w:w="459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A9A812" w14:textId="77777777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A17AD3" w14:textId="2490190C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Female (N=31)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F1EB02" w14:textId="55DADC4A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Male (N=45)</w:t>
            </w:r>
          </w:p>
        </w:tc>
        <w:tc>
          <w:tcPr>
            <w:tcW w:w="408" w:type="pct"/>
            <w:vMerge/>
            <w:tcBorders>
              <w:top w:val="nil"/>
              <w:bottom w:val="single" w:sz="4" w:space="0" w:color="auto"/>
            </w:tcBorders>
            <w:hideMark/>
          </w:tcPr>
          <w:p w14:paraId="0CD19D65" w14:textId="77777777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</w:tr>
      <w:tr w:rsidR="000B6F9B" w:rsidRPr="000B6F9B" w14:paraId="2174F1AD" w14:textId="77777777" w:rsidTr="00694917">
        <w:tc>
          <w:tcPr>
            <w:tcW w:w="1224" w:type="pct"/>
            <w:tcBorders>
              <w:top w:val="single" w:sz="4" w:space="0" w:color="auto"/>
              <w:bottom w:val="nil"/>
            </w:tcBorders>
          </w:tcPr>
          <w:p w14:paraId="5CFD4909" w14:textId="36396132" w:rsidR="00D57DEF" w:rsidRPr="000B6F9B" w:rsidRDefault="000B6F9B" w:rsidP="00694917">
            <w:pPr>
              <w:wordWrap/>
              <w:spacing w:line="480" w:lineRule="auto"/>
              <w:ind w:left="200" w:hangingChars="100" w:hanging="200"/>
              <w:jc w:val="left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Statements related to the satisfaction of training tool</w:t>
            </w: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7BE7C36B" w14:textId="77777777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nil"/>
            </w:tcBorders>
          </w:tcPr>
          <w:p w14:paraId="0540E852" w14:textId="77777777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459" w:type="pct"/>
            <w:tcBorders>
              <w:top w:val="single" w:sz="4" w:space="0" w:color="auto"/>
              <w:bottom w:val="nil"/>
            </w:tcBorders>
          </w:tcPr>
          <w:p w14:paraId="261D3C6D" w14:textId="77777777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nil"/>
            </w:tcBorders>
          </w:tcPr>
          <w:p w14:paraId="4AA3E2A3" w14:textId="77777777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766" w:type="pct"/>
            <w:tcBorders>
              <w:top w:val="single" w:sz="4" w:space="0" w:color="auto"/>
              <w:bottom w:val="nil"/>
            </w:tcBorders>
          </w:tcPr>
          <w:p w14:paraId="0C3A542B" w14:textId="77777777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nil"/>
            </w:tcBorders>
          </w:tcPr>
          <w:p w14:paraId="34BBBE01" w14:textId="77777777" w:rsidR="00D57DEF" w:rsidRPr="000B6F9B" w:rsidRDefault="00D57DEF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</w:p>
        </w:tc>
      </w:tr>
      <w:tr w:rsidR="000B6F9B" w:rsidRPr="000B6F9B" w14:paraId="4CCB1055" w14:textId="77777777" w:rsidTr="00694917">
        <w:tc>
          <w:tcPr>
            <w:tcW w:w="1224" w:type="pct"/>
            <w:tcBorders>
              <w:top w:val="nil"/>
            </w:tcBorders>
            <w:hideMark/>
          </w:tcPr>
          <w:p w14:paraId="6E3FC674" w14:textId="77777777" w:rsidR="00504A26" w:rsidRPr="000B6F9B" w:rsidRDefault="00504A26" w:rsidP="00694917">
            <w:pPr>
              <w:wordWrap/>
              <w:spacing w:line="480" w:lineRule="auto"/>
              <w:ind w:leftChars="150" w:left="500" w:hangingChars="100" w:hanging="200"/>
              <w:jc w:val="left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Q1</w:t>
            </w:r>
          </w:p>
        </w:tc>
        <w:tc>
          <w:tcPr>
            <w:tcW w:w="714" w:type="pct"/>
            <w:tcBorders>
              <w:top w:val="nil"/>
            </w:tcBorders>
          </w:tcPr>
          <w:p w14:paraId="1FAD457B" w14:textId="70E2409A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3.48±0.51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3.27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3.69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14" w:type="pct"/>
            <w:tcBorders>
              <w:top w:val="nil"/>
            </w:tcBorders>
          </w:tcPr>
          <w:p w14:paraId="554F448B" w14:textId="1C1E7A2D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3.59±0.66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3.39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3.79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59" w:type="pct"/>
            <w:tcBorders>
              <w:top w:val="nil"/>
            </w:tcBorders>
          </w:tcPr>
          <w:p w14:paraId="5D055F90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0.46</w:t>
            </w:r>
          </w:p>
        </w:tc>
        <w:tc>
          <w:tcPr>
            <w:tcW w:w="715" w:type="pct"/>
            <w:tcBorders>
              <w:top w:val="nil"/>
            </w:tcBorders>
          </w:tcPr>
          <w:p w14:paraId="322FF3B3" w14:textId="10376F2C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3.61±0.50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3.43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3.79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66" w:type="pct"/>
            <w:tcBorders>
              <w:top w:val="nil"/>
            </w:tcBorders>
          </w:tcPr>
          <w:p w14:paraId="74A4F271" w14:textId="48E92028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3.67±0.71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3.45</w:t>
            </w:r>
            <w:r w:rsidR="00694917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3.88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08" w:type="pct"/>
            <w:tcBorders>
              <w:top w:val="nil"/>
            </w:tcBorders>
          </w:tcPr>
          <w:p w14:paraId="76F5BFC6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0.69</w:t>
            </w:r>
          </w:p>
        </w:tc>
      </w:tr>
      <w:tr w:rsidR="000B6F9B" w:rsidRPr="000B6F9B" w14:paraId="4034027F" w14:textId="77777777" w:rsidTr="00694917">
        <w:tc>
          <w:tcPr>
            <w:tcW w:w="1224" w:type="pct"/>
            <w:hideMark/>
          </w:tcPr>
          <w:p w14:paraId="253E5B08" w14:textId="77777777" w:rsidR="00504A26" w:rsidRPr="000B6F9B" w:rsidRDefault="00504A26" w:rsidP="00694917">
            <w:pPr>
              <w:wordWrap/>
              <w:spacing w:line="480" w:lineRule="auto"/>
              <w:ind w:leftChars="150" w:left="500" w:hangingChars="100" w:hanging="200"/>
              <w:jc w:val="left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Q2</w:t>
            </w:r>
          </w:p>
        </w:tc>
        <w:tc>
          <w:tcPr>
            <w:tcW w:w="714" w:type="pct"/>
          </w:tcPr>
          <w:p w14:paraId="643706B0" w14:textId="15B5CDC5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3.60±0.50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3.39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3.81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14" w:type="pct"/>
          </w:tcPr>
          <w:p w14:paraId="2E088467" w14:textId="6D3ED01E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3.57±0.66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3.37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3.77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59" w:type="pct"/>
          </w:tcPr>
          <w:p w14:paraId="17CC1D91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0.83</w:t>
            </w:r>
          </w:p>
        </w:tc>
        <w:tc>
          <w:tcPr>
            <w:tcW w:w="715" w:type="pct"/>
          </w:tcPr>
          <w:p w14:paraId="0C96F55B" w14:textId="4A9BDC6F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3.61±0.56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3.41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3.82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66" w:type="pct"/>
          </w:tcPr>
          <w:p w14:paraId="164F67F2" w14:textId="7A4B938F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3.64±0.74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3.42</w:t>
            </w:r>
            <w:r w:rsidR="00694917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3.87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08" w:type="pct"/>
          </w:tcPr>
          <w:p w14:paraId="7F53781E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0.84</w:t>
            </w:r>
          </w:p>
        </w:tc>
      </w:tr>
      <w:tr w:rsidR="000B6F9B" w:rsidRPr="000B6F9B" w14:paraId="33408204" w14:textId="77777777" w:rsidTr="00694917">
        <w:tc>
          <w:tcPr>
            <w:tcW w:w="1224" w:type="pct"/>
            <w:hideMark/>
          </w:tcPr>
          <w:p w14:paraId="265095AF" w14:textId="77777777" w:rsidR="00504A26" w:rsidRPr="000B6F9B" w:rsidRDefault="00504A26" w:rsidP="00694917">
            <w:pPr>
              <w:wordWrap/>
              <w:spacing w:line="480" w:lineRule="auto"/>
              <w:ind w:leftChars="150" w:left="500" w:hangingChars="100" w:hanging="200"/>
              <w:jc w:val="left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Q3</w:t>
            </w:r>
          </w:p>
        </w:tc>
        <w:tc>
          <w:tcPr>
            <w:tcW w:w="714" w:type="pct"/>
          </w:tcPr>
          <w:p w14:paraId="7C8B225A" w14:textId="739EF0ED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3.56±0.51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3.35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3.77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14" w:type="pct"/>
          </w:tcPr>
          <w:p w14:paraId="00B1D75A" w14:textId="5B169902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3.61±0.58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3.79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59" w:type="pct"/>
          </w:tcPr>
          <w:p w14:paraId="419F4687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0.70</w:t>
            </w:r>
          </w:p>
        </w:tc>
        <w:tc>
          <w:tcPr>
            <w:tcW w:w="715" w:type="pct"/>
          </w:tcPr>
          <w:p w14:paraId="166170AE" w14:textId="206FB440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3.65±0.49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3.47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3.82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66" w:type="pct"/>
          </w:tcPr>
          <w:p w14:paraId="332C74AA" w14:textId="0E02EABB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3.67±0.71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3.45</w:t>
            </w:r>
            <w:r w:rsidR="00694917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3.88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08" w:type="pct"/>
          </w:tcPr>
          <w:p w14:paraId="4B84731A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0.87</w:t>
            </w:r>
          </w:p>
        </w:tc>
      </w:tr>
      <w:tr w:rsidR="000B6F9B" w:rsidRPr="000B6F9B" w14:paraId="349EA5DC" w14:textId="77777777" w:rsidTr="00694917">
        <w:tc>
          <w:tcPr>
            <w:tcW w:w="1224" w:type="pct"/>
            <w:hideMark/>
          </w:tcPr>
          <w:p w14:paraId="4CC89790" w14:textId="77777777" w:rsidR="00504A26" w:rsidRPr="000B6F9B" w:rsidRDefault="00504A26" w:rsidP="00694917">
            <w:pPr>
              <w:wordWrap/>
              <w:spacing w:line="480" w:lineRule="auto"/>
              <w:ind w:leftChars="150" w:left="500" w:hangingChars="100" w:hanging="200"/>
              <w:jc w:val="left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Q4</w:t>
            </w:r>
          </w:p>
        </w:tc>
        <w:tc>
          <w:tcPr>
            <w:tcW w:w="714" w:type="pct"/>
          </w:tcPr>
          <w:p w14:paraId="466B4D6C" w14:textId="5C5C55F6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3.64±0.49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14" w:type="pct"/>
          </w:tcPr>
          <w:p w14:paraId="1D860778" w14:textId="3D93D799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3.59±0.54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3.43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3.76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59" w:type="pct"/>
          </w:tcPr>
          <w:p w14:paraId="39D95B43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0.70</w:t>
            </w:r>
          </w:p>
        </w:tc>
        <w:tc>
          <w:tcPr>
            <w:tcW w:w="715" w:type="pct"/>
          </w:tcPr>
          <w:p w14:paraId="628EFCEB" w14:textId="7D967E93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3.65±0.49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3.47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3.82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66" w:type="pct"/>
          </w:tcPr>
          <w:p w14:paraId="2289AC93" w14:textId="44D6355F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3.67±0.71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3.45</w:t>
            </w:r>
            <w:r w:rsidR="00694917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3.88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08" w:type="pct"/>
          </w:tcPr>
          <w:p w14:paraId="16AE37C8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0.87</w:t>
            </w:r>
          </w:p>
        </w:tc>
      </w:tr>
      <w:tr w:rsidR="000B6F9B" w:rsidRPr="000B6F9B" w14:paraId="1B716DD2" w14:textId="77777777" w:rsidTr="00694917">
        <w:tc>
          <w:tcPr>
            <w:tcW w:w="1224" w:type="pct"/>
          </w:tcPr>
          <w:p w14:paraId="2E5D5634" w14:textId="4B77E31B" w:rsidR="000B6F9B" w:rsidRPr="000B6F9B" w:rsidRDefault="000B6F9B" w:rsidP="00694917">
            <w:pPr>
              <w:wordWrap/>
              <w:spacing w:line="480" w:lineRule="auto"/>
              <w:ind w:left="200" w:hangingChars="100" w:hanging="200"/>
              <w:jc w:val="left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Statements related to the satisfaction of instructor’s teaching and workshop</w:t>
            </w:r>
          </w:p>
        </w:tc>
        <w:tc>
          <w:tcPr>
            <w:tcW w:w="714" w:type="pct"/>
          </w:tcPr>
          <w:p w14:paraId="4DC0C44F" w14:textId="77777777" w:rsidR="000B6F9B" w:rsidRPr="000B6F9B" w:rsidRDefault="000B6F9B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714" w:type="pct"/>
          </w:tcPr>
          <w:p w14:paraId="7737E61C" w14:textId="77777777" w:rsidR="000B6F9B" w:rsidRPr="000B6F9B" w:rsidRDefault="000B6F9B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459" w:type="pct"/>
          </w:tcPr>
          <w:p w14:paraId="3683B117" w14:textId="77777777" w:rsidR="000B6F9B" w:rsidRPr="000B6F9B" w:rsidRDefault="000B6F9B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</w:p>
        </w:tc>
        <w:tc>
          <w:tcPr>
            <w:tcW w:w="715" w:type="pct"/>
          </w:tcPr>
          <w:p w14:paraId="752D8F00" w14:textId="77777777" w:rsidR="000B6F9B" w:rsidRPr="000B6F9B" w:rsidRDefault="000B6F9B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766" w:type="pct"/>
          </w:tcPr>
          <w:p w14:paraId="6FD3F66C" w14:textId="77777777" w:rsidR="000B6F9B" w:rsidRPr="000B6F9B" w:rsidRDefault="000B6F9B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</w:p>
        </w:tc>
        <w:tc>
          <w:tcPr>
            <w:tcW w:w="408" w:type="pct"/>
          </w:tcPr>
          <w:p w14:paraId="31A17E27" w14:textId="77777777" w:rsidR="000B6F9B" w:rsidRPr="000B6F9B" w:rsidRDefault="000B6F9B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</w:p>
        </w:tc>
      </w:tr>
      <w:tr w:rsidR="000B6F9B" w:rsidRPr="000B6F9B" w14:paraId="495FB6EC" w14:textId="77777777" w:rsidTr="00694917">
        <w:tc>
          <w:tcPr>
            <w:tcW w:w="1224" w:type="pct"/>
            <w:hideMark/>
          </w:tcPr>
          <w:p w14:paraId="70CDBBD1" w14:textId="77777777" w:rsidR="00504A26" w:rsidRPr="000B6F9B" w:rsidRDefault="00504A26" w:rsidP="00694917">
            <w:pPr>
              <w:wordWrap/>
              <w:spacing w:line="480" w:lineRule="auto"/>
              <w:ind w:leftChars="150" w:left="500" w:hangingChars="100" w:hanging="200"/>
              <w:jc w:val="left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Q5</w:t>
            </w:r>
          </w:p>
        </w:tc>
        <w:tc>
          <w:tcPr>
            <w:tcW w:w="714" w:type="pct"/>
          </w:tcPr>
          <w:p w14:paraId="1FAB222F" w14:textId="7B45701E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3.64±0.49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14" w:type="pct"/>
          </w:tcPr>
          <w:p w14:paraId="034B363A" w14:textId="2DBA4350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3.68±0.47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3.54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3.83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59" w:type="pct"/>
          </w:tcPr>
          <w:p w14:paraId="776BF7AE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0.72</w:t>
            </w:r>
          </w:p>
        </w:tc>
        <w:tc>
          <w:tcPr>
            <w:tcW w:w="715" w:type="pct"/>
          </w:tcPr>
          <w:p w14:paraId="0409B94A" w14:textId="318156A1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3.71±0.46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3.54</w:t>
            </w:r>
            <w:r w:rsidR="00694917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3.88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66" w:type="pct"/>
          </w:tcPr>
          <w:p w14:paraId="041605A8" w14:textId="36D07A7F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3.78±0.42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3.65</w:t>
            </w:r>
            <w:r w:rsidR="00694917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3.90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08" w:type="pct"/>
          </w:tcPr>
          <w:p w14:paraId="5BE3B33B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0.50</w:t>
            </w:r>
          </w:p>
        </w:tc>
      </w:tr>
      <w:tr w:rsidR="000B6F9B" w:rsidRPr="000B6F9B" w14:paraId="798B3336" w14:textId="77777777" w:rsidTr="00694917">
        <w:tc>
          <w:tcPr>
            <w:tcW w:w="1224" w:type="pct"/>
            <w:hideMark/>
          </w:tcPr>
          <w:p w14:paraId="77F9696D" w14:textId="77777777" w:rsidR="00504A26" w:rsidRPr="000B6F9B" w:rsidRDefault="00504A26" w:rsidP="00694917">
            <w:pPr>
              <w:wordWrap/>
              <w:spacing w:line="480" w:lineRule="auto"/>
              <w:ind w:leftChars="150" w:left="500" w:hangingChars="100" w:hanging="200"/>
              <w:jc w:val="left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Q6</w:t>
            </w:r>
          </w:p>
        </w:tc>
        <w:tc>
          <w:tcPr>
            <w:tcW w:w="714" w:type="pct"/>
          </w:tcPr>
          <w:p w14:paraId="364E77CE" w14:textId="23364FC1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3.68±0.48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3.48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3.88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14" w:type="pct"/>
          </w:tcPr>
          <w:p w14:paraId="7B56E164" w14:textId="0A868A6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3.75±0.44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3.62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3.88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59" w:type="pct"/>
          </w:tcPr>
          <w:p w14:paraId="4F11A513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0.53</w:t>
            </w:r>
          </w:p>
        </w:tc>
        <w:tc>
          <w:tcPr>
            <w:tcW w:w="715" w:type="pct"/>
          </w:tcPr>
          <w:p w14:paraId="72F6AB88" w14:textId="79BA3FAB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3.74±0.44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3.58</w:t>
            </w:r>
            <w:r w:rsidR="00694917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3.91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66" w:type="pct"/>
          </w:tcPr>
          <w:p w14:paraId="7C1F743E" w14:textId="28D547AE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3.80±0.40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3.68</w:t>
            </w:r>
            <w:r w:rsidR="00694917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3.92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08" w:type="pct"/>
          </w:tcPr>
          <w:p w14:paraId="5DBB67D5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0.55</w:t>
            </w:r>
          </w:p>
        </w:tc>
      </w:tr>
      <w:tr w:rsidR="000B6F9B" w:rsidRPr="000B6F9B" w14:paraId="67CF02C5" w14:textId="77777777" w:rsidTr="00694917">
        <w:tc>
          <w:tcPr>
            <w:tcW w:w="1224" w:type="pct"/>
            <w:hideMark/>
          </w:tcPr>
          <w:p w14:paraId="6C38A0D7" w14:textId="77777777" w:rsidR="00504A26" w:rsidRPr="000B6F9B" w:rsidRDefault="00504A26" w:rsidP="00694917">
            <w:pPr>
              <w:wordWrap/>
              <w:spacing w:line="480" w:lineRule="auto"/>
              <w:ind w:leftChars="150" w:left="500" w:hangingChars="100" w:hanging="200"/>
              <w:jc w:val="left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Q7</w:t>
            </w:r>
          </w:p>
        </w:tc>
        <w:tc>
          <w:tcPr>
            <w:tcW w:w="714" w:type="pct"/>
          </w:tcPr>
          <w:p w14:paraId="537F4C9E" w14:textId="57404C1A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3.64±0.49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3.44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14" w:type="pct"/>
          </w:tcPr>
          <w:p w14:paraId="55AB349F" w14:textId="31CC3646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3.70±0.46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3.56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3.84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59" w:type="pct"/>
          </w:tcPr>
          <w:p w14:paraId="240E8ED5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0.58</w:t>
            </w:r>
          </w:p>
        </w:tc>
        <w:tc>
          <w:tcPr>
            <w:tcW w:w="715" w:type="pct"/>
          </w:tcPr>
          <w:p w14:paraId="5D8A3767" w14:textId="46163620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3.68±0.48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3.50</w:t>
            </w:r>
            <w:r w:rsidR="00694917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3.85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766" w:type="pct"/>
          </w:tcPr>
          <w:p w14:paraId="1A7C42D6" w14:textId="37F3D970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cs="Times New Roman"/>
                <w:color w:val="000000" w:themeColor="text1"/>
                <w:lang w:eastAsia="zh-TW"/>
              </w:rPr>
            </w:pPr>
            <w:r w:rsidRPr="000B6F9B">
              <w:rPr>
                <w:rFonts w:cs="Times New Roman"/>
                <w:color w:val="000000" w:themeColor="text1"/>
                <w:lang w:eastAsia="zh-TW"/>
              </w:rPr>
              <w:t>3.71±0.69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 xml:space="preserve"> (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3.50</w:t>
            </w:r>
            <w:r w:rsidR="00694917">
              <w:rPr>
                <w:rFonts w:cs="Times New Roman"/>
                <w:color w:val="000000" w:themeColor="text1"/>
                <w:lang w:eastAsia="zh-TW"/>
              </w:rPr>
              <w:t>–</w:t>
            </w:r>
            <w:r w:rsidRPr="000B6F9B">
              <w:rPr>
                <w:rFonts w:cs="Times New Roman"/>
                <w:color w:val="000000" w:themeColor="text1"/>
                <w:lang w:eastAsia="zh-TW"/>
              </w:rPr>
              <w:t>3.92</w:t>
            </w:r>
            <w:r w:rsidR="000B6F9B">
              <w:rPr>
                <w:rFonts w:cs="Times New Roman"/>
                <w:color w:val="000000" w:themeColor="text1"/>
                <w:lang w:eastAsia="zh-TW"/>
              </w:rPr>
              <w:t>)</w:t>
            </w:r>
          </w:p>
        </w:tc>
        <w:tc>
          <w:tcPr>
            <w:tcW w:w="408" w:type="pct"/>
          </w:tcPr>
          <w:p w14:paraId="2C1CCC1B" w14:textId="77777777" w:rsidR="00504A26" w:rsidRPr="000B6F9B" w:rsidRDefault="00504A26" w:rsidP="000B6F9B">
            <w:pPr>
              <w:wordWrap/>
              <w:spacing w:line="480" w:lineRule="auto"/>
              <w:jc w:val="center"/>
              <w:rPr>
                <w:rFonts w:eastAsia="PMingLiU" w:cs="Times New Roman"/>
                <w:color w:val="000000" w:themeColor="text1"/>
                <w:lang w:eastAsia="zh-TW"/>
              </w:rPr>
            </w:pPr>
            <w:r w:rsidRPr="000B6F9B">
              <w:rPr>
                <w:rFonts w:eastAsia="PMingLiU" w:cs="Times New Roman"/>
                <w:color w:val="000000" w:themeColor="text1"/>
                <w:lang w:eastAsia="zh-TW"/>
              </w:rPr>
              <w:t>0.80</w:t>
            </w:r>
          </w:p>
        </w:tc>
      </w:tr>
    </w:tbl>
    <w:p w14:paraId="725290A8" w14:textId="77777777" w:rsidR="00D57DEF" w:rsidRDefault="00D57DEF" w:rsidP="00D57DEF">
      <w:pPr>
        <w:wordWrap/>
        <w:autoSpaceDE/>
        <w:autoSpaceDN/>
        <w:spacing w:beforeLines="50" w:before="120" w:after="0" w:line="480" w:lineRule="auto"/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</w:pP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Values are presented as mean</w:t>
      </w:r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 xml:space="preserve"> score</w:t>
      </w: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 xml:space="preserve">±standard deviation </w:t>
      </w:r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(95% confidence interval)</w:t>
      </w: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.</w:t>
      </w:r>
    </w:p>
    <w:p w14:paraId="49C0BAB2" w14:textId="178AC1F2" w:rsidR="00504A26" w:rsidRPr="00C500F6" w:rsidRDefault="00D57DEF" w:rsidP="00C500F6">
      <w:pPr>
        <w:wordWrap/>
        <w:spacing w:after="0" w:line="480" w:lineRule="auto"/>
        <w:rPr>
          <w:color w:val="000000" w:themeColor="text1"/>
          <w:sz w:val="22"/>
          <w:szCs w:val="22"/>
        </w:rPr>
      </w:pPr>
      <w:r>
        <w:rPr>
          <w:rFonts w:cs="Times New Roman" w:hint="eastAsia"/>
          <w:bCs/>
          <w:color w:val="000000" w:themeColor="text1"/>
          <w:kern w:val="0"/>
          <w:sz w:val="22"/>
          <w:szCs w:val="22"/>
        </w:rPr>
        <w:t>S</w:t>
      </w:r>
      <w:r>
        <w:rPr>
          <w:rFonts w:cs="Times New Roman"/>
          <w:bCs/>
          <w:color w:val="000000" w:themeColor="text1"/>
          <w:kern w:val="0"/>
          <w:sz w:val="22"/>
          <w:szCs w:val="22"/>
        </w:rPr>
        <w:t>G, s</w:t>
      </w:r>
      <w:r w:rsidRPr="0021077E"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>mart glasses</w:t>
      </w:r>
      <w:r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; 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ETI, e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ndotracheal intubation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;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 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CVC, 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central venous catheterization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.</w:t>
      </w:r>
    </w:p>
    <w:sectPr w:rsidR="00504A26" w:rsidRPr="00C500F6" w:rsidSect="00681DCC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43854" w14:textId="77777777" w:rsidR="006867DA" w:rsidRDefault="006867DA" w:rsidP="00504A26">
      <w:pPr>
        <w:spacing w:after="0" w:line="240" w:lineRule="auto"/>
      </w:pPr>
      <w:r>
        <w:separator/>
      </w:r>
    </w:p>
  </w:endnote>
  <w:endnote w:type="continuationSeparator" w:id="0">
    <w:p w14:paraId="1B778786" w14:textId="77777777" w:rsidR="006867DA" w:rsidRDefault="006867DA" w:rsidP="0050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JhengHei"/>
    <w:charset w:val="88"/>
    <w:family w:val="script"/>
    <w:pitch w:val="fixed"/>
    <w:sig w:usb0="00000000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B6BA8" w14:textId="77777777" w:rsidR="006867DA" w:rsidRDefault="006867DA" w:rsidP="00504A26">
      <w:pPr>
        <w:spacing w:after="0" w:line="240" w:lineRule="auto"/>
      </w:pPr>
      <w:r>
        <w:separator/>
      </w:r>
    </w:p>
  </w:footnote>
  <w:footnote w:type="continuationSeparator" w:id="0">
    <w:p w14:paraId="236C402A" w14:textId="77777777" w:rsidR="006867DA" w:rsidRDefault="006867DA" w:rsidP="0050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EwNbSwtDQ0NjSxsDRQ0lEKTi0uzszPAykwqgUAGmkaKiwAAAA="/>
  </w:docVars>
  <w:rsids>
    <w:rsidRoot w:val="00F97E5C"/>
    <w:rsid w:val="00064AE2"/>
    <w:rsid w:val="000B6F9B"/>
    <w:rsid w:val="001D1F16"/>
    <w:rsid w:val="001E2716"/>
    <w:rsid w:val="0034660D"/>
    <w:rsid w:val="004B3745"/>
    <w:rsid w:val="004C088E"/>
    <w:rsid w:val="00504A26"/>
    <w:rsid w:val="00552DF6"/>
    <w:rsid w:val="00681DCC"/>
    <w:rsid w:val="006867DA"/>
    <w:rsid w:val="00694917"/>
    <w:rsid w:val="007E6986"/>
    <w:rsid w:val="00850C02"/>
    <w:rsid w:val="00887F75"/>
    <w:rsid w:val="00902B45"/>
    <w:rsid w:val="009D551F"/>
    <w:rsid w:val="00B207A5"/>
    <w:rsid w:val="00BB470D"/>
    <w:rsid w:val="00C500F6"/>
    <w:rsid w:val="00D179E7"/>
    <w:rsid w:val="00D57DEF"/>
    <w:rsid w:val="00E80610"/>
    <w:rsid w:val="00F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0420B"/>
  <w15:chartTrackingRefBased/>
  <w15:docId w15:val="{1A6286C7-CE8F-4C87-84E2-77F8A299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5C"/>
    <w:pPr>
      <w:widowControl w:val="0"/>
      <w:wordWrap w:val="0"/>
      <w:autoSpaceDE w:val="0"/>
      <w:autoSpaceDN w:val="0"/>
    </w:pPr>
    <w:rPr>
      <w:rFonts w:ascii="Garamond" w:hAnsi="Garamond"/>
      <w:color w:val="C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E5C"/>
    <w:pPr>
      <w:spacing w:after="0" w:line="240" w:lineRule="auto"/>
    </w:pPr>
    <w:rPr>
      <w:rFonts w:ascii="Garamond" w:hAnsi="Garamond"/>
      <w:color w:val="C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04A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4A26"/>
    <w:rPr>
      <w:rFonts w:ascii="Garamond" w:hAnsi="Garamond"/>
      <w:color w:val="C00000"/>
      <w:szCs w:val="20"/>
    </w:rPr>
  </w:style>
  <w:style w:type="paragraph" w:styleId="a5">
    <w:name w:val="footer"/>
    <w:basedOn w:val="a"/>
    <w:link w:val="Char0"/>
    <w:uiPriority w:val="99"/>
    <w:unhideWhenUsed/>
    <w:rsid w:val="00504A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4A26"/>
    <w:rPr>
      <w:rFonts w:ascii="Garamond" w:hAnsi="Garamond"/>
      <w:color w:val="C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cmc</cp:lastModifiedBy>
  <cp:revision>2</cp:revision>
  <dcterms:created xsi:type="dcterms:W3CDTF">2022-09-28T07:00:00Z</dcterms:created>
  <dcterms:modified xsi:type="dcterms:W3CDTF">2022-09-28T07:00:00Z</dcterms:modified>
</cp:coreProperties>
</file>