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A5" w:rsidRPr="00C500F6" w:rsidRDefault="007919A5" w:rsidP="007919A5">
      <w:pPr>
        <w:wordWrap/>
        <w:spacing w:after="0" w:line="480" w:lineRule="auto"/>
        <w:rPr>
          <w:rFonts w:cs="Times New Roman"/>
          <w:color w:val="000000" w:themeColor="text1"/>
          <w:sz w:val="22"/>
          <w:szCs w:val="22"/>
          <w:lang w:eastAsia="zh-TW"/>
        </w:rPr>
      </w:pPr>
      <w:r>
        <w:rPr>
          <w:rFonts w:cs="Times New Roman"/>
          <w:b/>
          <w:bCs/>
          <w:color w:val="000000" w:themeColor="text1"/>
          <w:sz w:val="22"/>
          <w:szCs w:val="22"/>
        </w:rPr>
        <w:t>Supplement 11.</w:t>
      </w:r>
      <w:r w:rsidRPr="00C500F6">
        <w:rPr>
          <w:rFonts w:cs="Times New Roman"/>
          <w:color w:val="000000" w:themeColor="text1"/>
          <w:sz w:val="22"/>
          <w:szCs w:val="22"/>
          <w:lang w:eastAsia="zh-TW"/>
        </w:rPr>
        <w:t xml:space="preserve"> The distribution </w:t>
      </w:r>
      <w:r w:rsidRPr="001D1F16">
        <w:rPr>
          <w:rFonts w:cs="Times New Roman"/>
          <w:color w:val="000000" w:themeColor="text1"/>
          <w:sz w:val="22"/>
          <w:szCs w:val="22"/>
          <w:lang w:eastAsia="zh-TW"/>
        </w:rPr>
        <w:t>of 5th- and 6th-year medical</w:t>
      </w:r>
      <w:r w:rsidRPr="00C500F6">
        <w:rPr>
          <w:rFonts w:cs="Times New Roman"/>
          <w:color w:val="000000" w:themeColor="text1"/>
          <w:sz w:val="22"/>
          <w:szCs w:val="22"/>
          <w:lang w:eastAsia="zh-TW"/>
        </w:rPr>
        <w:t xml:space="preserve"> students’ satisfaction to the statements listed in th</w:t>
      </w:r>
      <w:r w:rsidRPr="00C500F6">
        <w:rPr>
          <w:rFonts w:eastAsia="PMingLiU" w:cs="Times New Roman"/>
          <w:color w:val="000000" w:themeColor="text1"/>
          <w:sz w:val="22"/>
          <w:szCs w:val="22"/>
          <w:lang w:eastAsia="zh-TW"/>
        </w:rPr>
        <w:t xml:space="preserve">e </w:t>
      </w:r>
      <w:r w:rsidRPr="00C500F6">
        <w:rPr>
          <w:rFonts w:cs="Times New Roman"/>
          <w:color w:val="000000" w:themeColor="text1"/>
          <w:sz w:val="22"/>
          <w:szCs w:val="22"/>
          <w:lang w:eastAsia="zh-TW"/>
        </w:rPr>
        <w:t>satisfaction questionnaire in control and SG groups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2126"/>
        <w:gridCol w:w="1986"/>
        <w:gridCol w:w="1134"/>
        <w:gridCol w:w="2129"/>
        <w:gridCol w:w="2016"/>
        <w:gridCol w:w="1049"/>
      </w:tblGrid>
      <w:tr w:rsidR="007919A5" w:rsidRPr="001D1F16" w:rsidTr="00E47897">
        <w:trPr>
          <w:trHeight w:val="51"/>
        </w:trPr>
        <w:tc>
          <w:tcPr>
            <w:tcW w:w="1189" w:type="pct"/>
            <w:vMerge w:val="restart"/>
            <w:vAlign w:val="center"/>
            <w:hideMark/>
          </w:tcPr>
          <w:p w:rsidR="007919A5" w:rsidRPr="001D1F16" w:rsidRDefault="007919A5" w:rsidP="00E47897">
            <w:pPr>
              <w:wordWrap/>
              <w:spacing w:line="480" w:lineRule="auto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bookmarkStart w:id="0" w:name="_Hlk110622036"/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Statements of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br/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questionnaire</w:t>
            </w:r>
          </w:p>
        </w:tc>
        <w:tc>
          <w:tcPr>
            <w:tcW w:w="3811" w:type="pct"/>
            <w:gridSpan w:val="6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Satisfaction regarding learning experience</w:t>
            </w:r>
          </w:p>
        </w:tc>
      </w:tr>
      <w:tr w:rsidR="007919A5" w:rsidRPr="001D1F16" w:rsidTr="00E47897">
        <w:tc>
          <w:tcPr>
            <w:tcW w:w="1189" w:type="pct"/>
            <w:vMerge/>
            <w:hideMark/>
          </w:tcPr>
          <w:p w:rsidR="007919A5" w:rsidRPr="001D1F16" w:rsidRDefault="007919A5" w:rsidP="00E47897">
            <w:pPr>
              <w:wordWrap/>
              <w:spacing w:line="480" w:lineRule="auto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01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B207A5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5th-year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medical students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-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value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B207A5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6th-year medical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students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-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value</w:t>
            </w:r>
          </w:p>
        </w:tc>
      </w:tr>
      <w:tr w:rsidR="007919A5" w:rsidRPr="001D1F16" w:rsidTr="00E47897">
        <w:trPr>
          <w:trHeight w:val="51"/>
        </w:trPr>
        <w:tc>
          <w:tcPr>
            <w:tcW w:w="1189" w:type="pct"/>
            <w:vMerge/>
            <w:tcBorders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Control group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(N=12)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SG group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(N=13)</w:t>
            </w:r>
          </w:p>
        </w:tc>
        <w:tc>
          <w:tcPr>
            <w:tcW w:w="414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Control group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(N=57)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SG group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(N=63)</w:t>
            </w:r>
          </w:p>
        </w:tc>
        <w:tc>
          <w:tcPr>
            <w:tcW w:w="382" w:type="pct"/>
            <w:vMerge/>
            <w:tcBorders>
              <w:top w:val="nil"/>
              <w:bottom w:val="single" w:sz="4" w:space="0" w:color="auto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7919A5" w:rsidRPr="001D1F16" w:rsidTr="00E47897">
        <w:tc>
          <w:tcPr>
            <w:tcW w:w="1189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ind w:left="1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Statements related to the satisfaction of training tool</w:t>
            </w:r>
          </w:p>
        </w:tc>
        <w:tc>
          <w:tcPr>
            <w:tcW w:w="776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7919A5" w:rsidRPr="001D1F16" w:rsidTr="00E47897">
        <w:tc>
          <w:tcPr>
            <w:tcW w:w="1189" w:type="pct"/>
            <w:tcBorders>
              <w:top w:val="nil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Q1</w:t>
            </w:r>
          </w:p>
        </w:tc>
        <w:tc>
          <w:tcPr>
            <w:tcW w:w="776" w:type="pct"/>
            <w:tcBorders>
              <w:top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3.58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±0.90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3.01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4.16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  <w:tcBorders>
              <w:top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3.23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±1.09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2.57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3.89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tcBorders>
              <w:top w:val="nil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0.38</w:t>
            </w:r>
          </w:p>
        </w:tc>
        <w:tc>
          <w:tcPr>
            <w:tcW w:w="777" w:type="pct"/>
            <w:tcBorders>
              <w:top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3.54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±0.54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3.40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3.69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  <w:tcBorders>
              <w:top w:val="nil"/>
            </w:tcBorders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±0.45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3.62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tcBorders>
              <w:top w:val="nil"/>
            </w:tcBorders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0.04</w:t>
            </w: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Q2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3.83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±0.39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4.08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3.23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±1.17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2.53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0.09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3.53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±0.63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3.36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3.69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3.71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(</w:t>
            </w:r>
            <w:r w:rsidRPr="001D1F16">
              <w:rPr>
                <w:color w:val="000000" w:themeColor="text1"/>
                <w:sz w:val="18"/>
                <w:szCs w:val="18"/>
              </w:rPr>
              <w:t>3.59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0.06</w:t>
            </w: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Q3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3.83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±0.39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4.08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3.31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±1.11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2.64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0.12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3.54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±0.57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3.39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3.69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±0.45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3.62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0.04</w:t>
            </w: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Q4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3.83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±0.39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4.08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3.31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±1.11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2.64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0.12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3.56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±0.54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3.42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3.70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±0.45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3.62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0.06</w:t>
            </w:r>
          </w:p>
        </w:tc>
      </w:tr>
      <w:tr w:rsidR="007919A5" w:rsidRPr="001D1F16" w:rsidTr="00E47897">
        <w:tc>
          <w:tcPr>
            <w:tcW w:w="1189" w:type="pct"/>
          </w:tcPr>
          <w:p w:rsidR="007919A5" w:rsidRPr="001D1F16" w:rsidRDefault="007919A5" w:rsidP="00E47897">
            <w:pPr>
              <w:wordWrap/>
              <w:spacing w:line="480" w:lineRule="auto"/>
              <w:ind w:left="1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Statements related to the satisfaction of instructor’s teaching and workshop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4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Q5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3.75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±0.45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3.46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4.04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3.62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±0.51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3.31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3.92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0.49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3.65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±0.48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3.52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3.78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3.78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±0.42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3.67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0.12</w:t>
            </w: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Q6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3.83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±0.39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3.59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4.08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3.62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±0.51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3.31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3.92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0.24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3.70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±0.46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3.58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3.82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3.81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±0.40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3.71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3.91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0.17</w:t>
            </w:r>
          </w:p>
        </w:tc>
      </w:tr>
      <w:tr w:rsidR="007919A5" w:rsidRPr="001D1F16" w:rsidTr="00E47897">
        <w:tc>
          <w:tcPr>
            <w:tcW w:w="1189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ind w:leftChars="150" w:left="480" w:hangingChars="100" w:hanging="180"/>
              <w:jc w:val="left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Q7</w:t>
            </w:r>
          </w:p>
        </w:tc>
        <w:tc>
          <w:tcPr>
            <w:tcW w:w="77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3.92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±0.29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3.73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4.10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25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3.31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±1.11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2.64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3.98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14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0.07</w:t>
            </w:r>
          </w:p>
        </w:tc>
        <w:tc>
          <w:tcPr>
            <w:tcW w:w="777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3.63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±0.49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3.50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3.76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36" w:type="pct"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color w:val="000000" w:themeColor="text1"/>
                <w:sz w:val="18"/>
                <w:szCs w:val="18"/>
              </w:rPr>
              <w:t>3.78</w:t>
            </w: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±0.42</w:t>
            </w:r>
            <w:r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1D1F16">
              <w:rPr>
                <w:color w:val="000000" w:themeColor="text1"/>
                <w:sz w:val="18"/>
                <w:szCs w:val="18"/>
              </w:rPr>
              <w:t>3.67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1D1F16">
              <w:rPr>
                <w:color w:val="000000" w:themeColor="text1"/>
                <w:sz w:val="18"/>
                <w:szCs w:val="18"/>
              </w:rPr>
              <w:t>3.88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82" w:type="pct"/>
            <w:hideMark/>
          </w:tcPr>
          <w:p w:rsidR="007919A5" w:rsidRPr="001D1F16" w:rsidRDefault="007919A5" w:rsidP="00E47897">
            <w:pPr>
              <w:wordWrap/>
              <w:spacing w:line="48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</w:pPr>
            <w:r w:rsidRPr="001D1F16">
              <w:rPr>
                <w:rFonts w:cs="Times New Roman"/>
                <w:color w:val="000000" w:themeColor="text1"/>
                <w:sz w:val="18"/>
                <w:szCs w:val="18"/>
                <w:lang w:eastAsia="zh-TW"/>
              </w:rPr>
              <w:t>0.07</w:t>
            </w:r>
          </w:p>
        </w:tc>
      </w:tr>
    </w:tbl>
    <w:bookmarkEnd w:id="0"/>
    <w:p w:rsidR="007919A5" w:rsidRDefault="007919A5" w:rsidP="007919A5">
      <w:pPr>
        <w:wordWrap/>
        <w:autoSpaceDE/>
        <w:autoSpaceDN/>
        <w:spacing w:beforeLines="50" w:before="120" w:after="0" w:line="480" w:lineRule="auto"/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</w:pPr>
      <w:r w:rsidRPr="00850C02"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>Values are presented as mean</w:t>
      </w:r>
      <w:r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 xml:space="preserve"> </w:t>
      </w:r>
      <w:proofErr w:type="spellStart"/>
      <w:r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>score</w:t>
      </w:r>
      <w:r w:rsidRPr="00850C02"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>±standard</w:t>
      </w:r>
      <w:proofErr w:type="spellEnd"/>
      <w:r w:rsidRPr="00850C02"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 xml:space="preserve"> deviation </w:t>
      </w:r>
      <w:r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>(95% confidence interval)</w:t>
      </w:r>
      <w:r w:rsidRPr="00850C02">
        <w:rPr>
          <w:rFonts w:eastAsia="PMingLiU" w:cs="Times New Roman"/>
          <w:bCs/>
          <w:color w:val="000000" w:themeColor="text1"/>
          <w:sz w:val="22"/>
          <w:szCs w:val="22"/>
          <w:lang w:eastAsia="zh-TW"/>
        </w:rPr>
        <w:t>.</w:t>
      </w:r>
    </w:p>
    <w:p w:rsidR="00724A50" w:rsidRPr="007919A5" w:rsidRDefault="007919A5" w:rsidP="007919A5">
      <w:pPr>
        <w:wordWrap/>
        <w:spacing w:after="0" w:line="480" w:lineRule="auto"/>
        <w:rPr>
          <w:rFonts w:cs="Arial" w:hint="eastAsia"/>
          <w:b/>
          <w:iCs/>
          <w:color w:val="000000" w:themeColor="text1"/>
          <w:sz w:val="22"/>
          <w:szCs w:val="22"/>
        </w:rPr>
      </w:pPr>
      <w:r>
        <w:rPr>
          <w:rFonts w:cs="Times New Roman" w:hint="eastAsia"/>
          <w:bCs/>
          <w:color w:val="000000" w:themeColor="text1"/>
          <w:kern w:val="0"/>
          <w:sz w:val="22"/>
          <w:szCs w:val="22"/>
        </w:rPr>
        <w:t>S</w:t>
      </w:r>
      <w:r>
        <w:rPr>
          <w:rFonts w:cs="Times New Roman"/>
          <w:bCs/>
          <w:color w:val="000000" w:themeColor="text1"/>
          <w:kern w:val="0"/>
          <w:sz w:val="22"/>
          <w:szCs w:val="22"/>
        </w:rPr>
        <w:t>G, s</w:t>
      </w:r>
      <w:r w:rsidRPr="0021077E">
        <w:rPr>
          <w:rFonts w:eastAsia="PMingLiU" w:cs="Times New Roman"/>
          <w:bCs/>
          <w:color w:val="000000" w:themeColor="text1"/>
          <w:kern w:val="0"/>
          <w:sz w:val="22"/>
          <w:szCs w:val="22"/>
          <w:lang w:eastAsia="zh-TW"/>
        </w:rPr>
        <w:t>mart glasses</w:t>
      </w:r>
      <w:r>
        <w:rPr>
          <w:rFonts w:eastAsia="PMingLiU" w:cs="Times New Roman"/>
          <w:bCs/>
          <w:color w:val="000000" w:themeColor="text1"/>
          <w:kern w:val="0"/>
          <w:sz w:val="22"/>
          <w:szCs w:val="22"/>
          <w:lang w:eastAsia="zh-TW"/>
        </w:rPr>
        <w:t xml:space="preserve">; </w:t>
      </w:r>
      <w:r>
        <w:rPr>
          <w:rFonts w:eastAsia="DFKai-SB" w:cs="Times New Roman"/>
          <w:bCs/>
          <w:color w:val="000000" w:themeColor="text1"/>
          <w:kern w:val="0"/>
          <w:sz w:val="22"/>
          <w:szCs w:val="22"/>
        </w:rPr>
        <w:t>ETI, e</w:t>
      </w:r>
      <w:r w:rsidRPr="00E86F21">
        <w:rPr>
          <w:rFonts w:eastAsia="DFKai-SB" w:cs="Times New Roman"/>
          <w:bCs/>
          <w:color w:val="000000" w:themeColor="text1"/>
          <w:kern w:val="0"/>
          <w:sz w:val="22"/>
          <w:szCs w:val="22"/>
        </w:rPr>
        <w:t>ndotracheal intubation</w:t>
      </w:r>
      <w:r>
        <w:rPr>
          <w:rFonts w:eastAsia="DFKai-SB" w:cs="Times New Roman"/>
          <w:bCs/>
          <w:color w:val="000000" w:themeColor="text1"/>
          <w:kern w:val="0"/>
          <w:sz w:val="22"/>
          <w:szCs w:val="22"/>
        </w:rPr>
        <w:t>;</w:t>
      </w:r>
      <w:r w:rsidRPr="00E86F21">
        <w:rPr>
          <w:rFonts w:eastAsia="DFKai-SB" w:cs="Times New Roman"/>
          <w:bCs/>
          <w:color w:val="000000" w:themeColor="text1"/>
          <w:kern w:val="0"/>
          <w:sz w:val="22"/>
          <w:szCs w:val="22"/>
          <w:lang w:eastAsia="zh-TW"/>
        </w:rPr>
        <w:t xml:space="preserve"> </w:t>
      </w:r>
      <w:r>
        <w:rPr>
          <w:rFonts w:eastAsia="DFKai-SB" w:cs="Times New Roman"/>
          <w:bCs/>
          <w:color w:val="000000" w:themeColor="text1"/>
          <w:kern w:val="0"/>
          <w:sz w:val="22"/>
          <w:szCs w:val="22"/>
          <w:lang w:eastAsia="zh-TW"/>
        </w:rPr>
        <w:t xml:space="preserve">CVC, </w:t>
      </w:r>
      <w:r w:rsidRPr="00E86F21">
        <w:rPr>
          <w:rFonts w:eastAsia="DFKai-SB" w:cs="Times New Roman"/>
          <w:bCs/>
          <w:color w:val="000000" w:themeColor="text1"/>
          <w:kern w:val="0"/>
          <w:sz w:val="22"/>
          <w:szCs w:val="22"/>
        </w:rPr>
        <w:t>central venous catheterization</w:t>
      </w:r>
      <w:r>
        <w:rPr>
          <w:rFonts w:eastAsia="DFKai-SB" w:cs="Times New Roman"/>
          <w:bCs/>
          <w:color w:val="000000" w:themeColor="text1"/>
          <w:kern w:val="0"/>
          <w:sz w:val="22"/>
          <w:szCs w:val="22"/>
        </w:rPr>
        <w:t>.</w:t>
      </w:r>
      <w:bookmarkStart w:id="1" w:name="_GoBack"/>
      <w:bookmarkEnd w:id="1"/>
    </w:p>
    <w:sectPr w:rsidR="00724A50" w:rsidRPr="007919A5" w:rsidSect="007919A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 U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"/>
    <w:charset w:val="88"/>
    <w:family w:val="script"/>
    <w:pitch w:val="fixed"/>
    <w:sig w:usb0="00000000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A5"/>
    <w:rsid w:val="00724A50"/>
    <w:rsid w:val="007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921D7"/>
  <w15:chartTrackingRefBased/>
  <w15:docId w15:val="{7DB54F60-CDE8-4854-B310-D95B163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9A5"/>
    <w:pPr>
      <w:widowControl w:val="0"/>
      <w:wordWrap w:val="0"/>
      <w:autoSpaceDE w:val="0"/>
      <w:autoSpaceDN w:val="0"/>
    </w:pPr>
    <w:rPr>
      <w:rFonts w:ascii="Garamond" w:hAnsi="Garamond"/>
      <w:color w:val="C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9A5"/>
    <w:pPr>
      <w:spacing w:after="0" w:line="240" w:lineRule="auto"/>
    </w:pPr>
    <w:rPr>
      <w:rFonts w:ascii="Garamond" w:hAnsi="Garamond"/>
      <w:color w:val="C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1</cp:revision>
  <dcterms:created xsi:type="dcterms:W3CDTF">2022-09-28T06:56:00Z</dcterms:created>
  <dcterms:modified xsi:type="dcterms:W3CDTF">2022-09-28T06:58:00Z</dcterms:modified>
</cp:coreProperties>
</file>